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286"/>
        <w:gridCol w:w="3306"/>
        <w:gridCol w:w="184"/>
        <w:gridCol w:w="1967"/>
        <w:gridCol w:w="1752"/>
      </w:tblGrid>
      <w:tr w:rsidR="00075928" w14:paraId="65EA6ACE" w14:textId="77777777">
        <w:trPr>
          <w:trHeight w:val="840"/>
        </w:trPr>
        <w:tc>
          <w:tcPr>
            <w:tcW w:w="4432" w:type="dxa"/>
            <w:gridSpan w:val="2"/>
          </w:tcPr>
          <w:p w14:paraId="65EA6AC5" w14:textId="77777777" w:rsidR="00075928" w:rsidRDefault="009932F3">
            <w:pPr>
              <w:pStyle w:val="ListParagraph"/>
              <w:numPr>
                <w:ilvl w:val="0"/>
                <w:numId w:val="1"/>
              </w:numPr>
              <w:ind w:left="350" w:hanging="270"/>
              <w:rPr>
                <w:rFonts w:ascii="Arial" w:hAnsi="Arial" w:cs="Arial"/>
                <w:kern w:val="0"/>
                <w:sz w:val="20"/>
                <w:szCs w:val="20"/>
              </w:rPr>
            </w:pPr>
            <w:r>
              <w:rPr>
                <w:rFonts w:ascii="Arial" w:hAnsi="Arial" w:cs="Arial"/>
                <w:kern w:val="0"/>
                <w:sz w:val="20"/>
                <w:szCs w:val="20"/>
              </w:rPr>
              <w:br w:type="page"/>
              <w:t>Report No.</w:t>
            </w:r>
          </w:p>
          <w:p w14:paraId="65EA6AC6" w14:textId="77777777" w:rsidR="00075928" w:rsidRDefault="00075928">
            <w:pPr>
              <w:ind w:left="80"/>
              <w:rPr>
                <w:rFonts w:ascii="Arial" w:hAnsi="Arial" w:cs="Arial"/>
                <w:kern w:val="0"/>
                <w:sz w:val="20"/>
                <w:szCs w:val="20"/>
              </w:rPr>
            </w:pPr>
          </w:p>
          <w:p w14:paraId="65EA6AC7" w14:textId="21410B7C" w:rsidR="00075928" w:rsidRDefault="00BF6F17">
            <w:pPr>
              <w:ind w:left="80"/>
              <w:rPr>
                <w:rFonts w:ascii="Arial" w:hAnsi="Arial" w:cs="Arial"/>
                <w:kern w:val="0"/>
                <w:sz w:val="20"/>
                <w:szCs w:val="20"/>
              </w:rPr>
            </w:pPr>
            <w:r>
              <w:rPr>
                <w:rFonts w:ascii="Arial" w:hAnsi="Arial" w:cs="Arial"/>
                <w:kern w:val="0"/>
                <w:sz w:val="20"/>
                <w:szCs w:val="20"/>
              </w:rPr>
              <w:t>LS-23-RP-03</w:t>
            </w:r>
          </w:p>
        </w:tc>
        <w:tc>
          <w:tcPr>
            <w:tcW w:w="3308" w:type="dxa"/>
          </w:tcPr>
          <w:p w14:paraId="65EA6AC8" w14:textId="77777777" w:rsidR="00075928" w:rsidRDefault="009932F3">
            <w:pPr>
              <w:pStyle w:val="ListParagraph"/>
              <w:numPr>
                <w:ilvl w:val="0"/>
                <w:numId w:val="1"/>
              </w:numPr>
              <w:ind w:left="390" w:hanging="270"/>
              <w:rPr>
                <w:rFonts w:ascii="Arial" w:hAnsi="Arial" w:cs="Arial"/>
                <w:kern w:val="0"/>
                <w:sz w:val="20"/>
                <w:szCs w:val="20"/>
              </w:rPr>
            </w:pPr>
            <w:r>
              <w:rPr>
                <w:rFonts w:ascii="Arial" w:hAnsi="Arial" w:cs="Arial"/>
                <w:kern w:val="0"/>
                <w:sz w:val="20"/>
                <w:szCs w:val="20"/>
              </w:rPr>
              <w:t>Government Accession No</w:t>
            </w:r>
          </w:p>
          <w:p w14:paraId="65EA6AC9" w14:textId="77777777" w:rsidR="00075928" w:rsidRDefault="00075928">
            <w:pPr>
              <w:pStyle w:val="ListParagraph"/>
              <w:ind w:left="390"/>
              <w:rPr>
                <w:rFonts w:ascii="Arial" w:hAnsi="Arial" w:cs="Arial"/>
                <w:kern w:val="0"/>
                <w:sz w:val="20"/>
                <w:szCs w:val="20"/>
              </w:rPr>
            </w:pPr>
          </w:p>
          <w:p w14:paraId="65EA6ACA" w14:textId="77777777" w:rsidR="00075928" w:rsidRDefault="009932F3">
            <w:pPr>
              <w:pStyle w:val="ListParagraph"/>
              <w:ind w:left="390"/>
              <w:rPr>
                <w:rFonts w:ascii="Arial" w:hAnsi="Arial" w:cs="Arial"/>
                <w:kern w:val="0"/>
                <w:sz w:val="20"/>
                <w:szCs w:val="20"/>
              </w:rPr>
            </w:pPr>
            <w:r>
              <w:rPr>
                <w:rFonts w:ascii="Arial" w:hAnsi="Arial" w:cs="Arial"/>
                <w:kern w:val="0"/>
                <w:sz w:val="20"/>
                <w:szCs w:val="20"/>
              </w:rPr>
              <w:t>N/A</w:t>
            </w:r>
          </w:p>
        </w:tc>
        <w:tc>
          <w:tcPr>
            <w:tcW w:w="3900" w:type="dxa"/>
            <w:gridSpan w:val="3"/>
          </w:tcPr>
          <w:p w14:paraId="65EA6ACB"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Recipient’s Catalog No.</w:t>
            </w:r>
          </w:p>
          <w:p w14:paraId="65EA6ACC" w14:textId="77777777" w:rsidR="00075928" w:rsidRDefault="00075928">
            <w:pPr>
              <w:pStyle w:val="ListParagraph"/>
              <w:ind w:left="270" w:firstLine="90"/>
              <w:rPr>
                <w:rFonts w:ascii="Arial" w:hAnsi="Arial" w:cs="Arial"/>
                <w:kern w:val="0"/>
                <w:sz w:val="20"/>
                <w:szCs w:val="20"/>
              </w:rPr>
            </w:pPr>
          </w:p>
          <w:p w14:paraId="65EA6ACD" w14:textId="77777777" w:rsidR="00075928" w:rsidRDefault="009932F3">
            <w:pPr>
              <w:pStyle w:val="ListParagraph"/>
              <w:ind w:left="270" w:firstLine="90"/>
              <w:rPr>
                <w:rFonts w:ascii="Arial" w:hAnsi="Arial" w:cs="Arial"/>
                <w:kern w:val="0"/>
                <w:sz w:val="20"/>
                <w:szCs w:val="20"/>
              </w:rPr>
            </w:pPr>
            <w:r>
              <w:rPr>
                <w:rFonts w:ascii="Arial" w:hAnsi="Arial" w:cs="Arial"/>
                <w:kern w:val="0"/>
                <w:sz w:val="20"/>
                <w:szCs w:val="20"/>
              </w:rPr>
              <w:t>N/A</w:t>
            </w:r>
          </w:p>
        </w:tc>
      </w:tr>
      <w:tr w:rsidR="00075928" w14:paraId="65EA6AD5" w14:textId="77777777">
        <w:trPr>
          <w:trHeight w:val="800"/>
        </w:trPr>
        <w:tc>
          <w:tcPr>
            <w:tcW w:w="7740" w:type="dxa"/>
            <w:gridSpan w:val="3"/>
            <w:vMerge w:val="restart"/>
          </w:tcPr>
          <w:p w14:paraId="65EA6ACF" w14:textId="77777777" w:rsidR="00075928" w:rsidRDefault="009932F3">
            <w:pPr>
              <w:pStyle w:val="ListParagraph"/>
              <w:numPr>
                <w:ilvl w:val="0"/>
                <w:numId w:val="1"/>
              </w:numPr>
              <w:ind w:left="350" w:hanging="270"/>
              <w:rPr>
                <w:rFonts w:ascii="Arial" w:hAnsi="Arial" w:cs="Arial"/>
                <w:kern w:val="0"/>
                <w:sz w:val="20"/>
                <w:szCs w:val="20"/>
              </w:rPr>
            </w:pPr>
            <w:r>
              <w:rPr>
                <w:rFonts w:ascii="Arial" w:hAnsi="Arial" w:cs="Arial"/>
                <w:kern w:val="0"/>
                <w:sz w:val="20"/>
                <w:szCs w:val="20"/>
              </w:rPr>
              <w:t>Title and Subtitle</w:t>
            </w:r>
          </w:p>
          <w:p w14:paraId="65EA6AD0" w14:textId="77777777" w:rsidR="00075928" w:rsidRDefault="00075928">
            <w:pPr>
              <w:pStyle w:val="ListParagraph"/>
              <w:ind w:left="1430" w:hanging="1080"/>
              <w:rPr>
                <w:rFonts w:ascii="Arial" w:hAnsi="Arial" w:cs="Arial"/>
                <w:kern w:val="0"/>
                <w:sz w:val="20"/>
                <w:szCs w:val="20"/>
              </w:rPr>
            </w:pPr>
          </w:p>
          <w:p w14:paraId="65EA6AD1" w14:textId="77777777" w:rsidR="00075928" w:rsidRDefault="009932F3">
            <w:pPr>
              <w:pStyle w:val="ListParagraph"/>
              <w:ind w:left="1430" w:hanging="1080"/>
              <w:rPr>
                <w:rFonts w:ascii="Arial" w:hAnsi="Arial" w:cs="Arial"/>
                <w:kern w:val="0"/>
                <w:sz w:val="20"/>
                <w:szCs w:val="20"/>
              </w:rPr>
            </w:pPr>
            <w:r>
              <w:rPr>
                <w:rFonts w:ascii="Arial" w:hAnsi="Arial" w:cs="Arial"/>
                <w:kern w:val="0"/>
                <w:sz w:val="20"/>
                <w:szCs w:val="20"/>
              </w:rPr>
              <w:t>Exploring Fungal-Induced Carbonate Precipitation (FICP) for Healing Concrete Cracks</w:t>
            </w:r>
          </w:p>
        </w:tc>
        <w:tc>
          <w:tcPr>
            <w:tcW w:w="3900" w:type="dxa"/>
            <w:gridSpan w:val="3"/>
          </w:tcPr>
          <w:p w14:paraId="65EA6AD2"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Report Date</w:t>
            </w:r>
          </w:p>
          <w:p w14:paraId="65EA6AD3" w14:textId="77777777" w:rsidR="00075928" w:rsidRDefault="00075928">
            <w:pPr>
              <w:pStyle w:val="ListParagraph"/>
              <w:ind w:left="270" w:firstLine="90"/>
              <w:rPr>
                <w:rFonts w:ascii="Arial" w:hAnsi="Arial" w:cs="Arial"/>
                <w:kern w:val="0"/>
                <w:sz w:val="20"/>
                <w:szCs w:val="20"/>
              </w:rPr>
            </w:pPr>
          </w:p>
          <w:p w14:paraId="65EA6AD4" w14:textId="77777777" w:rsidR="00075928" w:rsidRDefault="009932F3">
            <w:pPr>
              <w:pStyle w:val="ListParagraph"/>
              <w:ind w:left="270" w:firstLine="90"/>
              <w:rPr>
                <w:rFonts w:ascii="Arial" w:hAnsi="Arial" w:cs="Arial"/>
                <w:kern w:val="0"/>
                <w:sz w:val="20"/>
                <w:szCs w:val="20"/>
              </w:rPr>
            </w:pPr>
            <w:r>
              <w:rPr>
                <w:rFonts w:ascii="Arial" w:hAnsi="Arial" w:cs="Arial"/>
                <w:kern w:val="0"/>
                <w:sz w:val="20"/>
                <w:szCs w:val="20"/>
              </w:rPr>
              <w:t>July, 2026</w:t>
            </w:r>
          </w:p>
        </w:tc>
      </w:tr>
      <w:tr w:rsidR="00075928" w14:paraId="65EA6ADA" w14:textId="77777777">
        <w:trPr>
          <w:trHeight w:val="800"/>
        </w:trPr>
        <w:tc>
          <w:tcPr>
            <w:tcW w:w="7740" w:type="dxa"/>
            <w:gridSpan w:val="3"/>
            <w:vMerge/>
          </w:tcPr>
          <w:p w14:paraId="65EA6AD6" w14:textId="77777777" w:rsidR="00075928" w:rsidRDefault="00075928">
            <w:pPr>
              <w:ind w:left="1080"/>
              <w:rPr>
                <w:rFonts w:ascii="Arial" w:hAnsi="Arial" w:cs="Arial"/>
                <w:kern w:val="0"/>
                <w:sz w:val="20"/>
                <w:szCs w:val="20"/>
              </w:rPr>
            </w:pPr>
          </w:p>
        </w:tc>
        <w:tc>
          <w:tcPr>
            <w:tcW w:w="3900" w:type="dxa"/>
            <w:gridSpan w:val="3"/>
          </w:tcPr>
          <w:p w14:paraId="65EA6AD7"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Performing Organization Code</w:t>
            </w:r>
          </w:p>
          <w:p w14:paraId="65EA6AD8" w14:textId="77777777" w:rsidR="00075928" w:rsidRDefault="00075928">
            <w:pPr>
              <w:pStyle w:val="ListParagraph"/>
              <w:ind w:left="360"/>
              <w:rPr>
                <w:rFonts w:ascii="Arial" w:hAnsi="Arial" w:cs="Arial"/>
                <w:kern w:val="0"/>
                <w:sz w:val="20"/>
                <w:szCs w:val="20"/>
              </w:rPr>
            </w:pPr>
          </w:p>
          <w:p w14:paraId="65EA6AD9" w14:textId="77777777" w:rsidR="00075928" w:rsidRDefault="009932F3">
            <w:pPr>
              <w:pStyle w:val="ListParagraph"/>
              <w:ind w:left="360"/>
              <w:rPr>
                <w:rFonts w:ascii="Arial" w:hAnsi="Arial" w:cs="Arial"/>
                <w:kern w:val="0"/>
                <w:sz w:val="20"/>
                <w:szCs w:val="20"/>
              </w:rPr>
            </w:pPr>
            <w:r>
              <w:rPr>
                <w:rFonts w:ascii="Arial" w:hAnsi="Arial" w:cs="Arial"/>
                <w:kern w:val="0"/>
                <w:sz w:val="20"/>
                <w:szCs w:val="20"/>
              </w:rPr>
              <w:t>N/A</w:t>
            </w:r>
          </w:p>
        </w:tc>
      </w:tr>
      <w:tr w:rsidR="00075928" w14:paraId="65EA6AE3" w14:textId="77777777">
        <w:trPr>
          <w:trHeight w:val="1380"/>
        </w:trPr>
        <w:tc>
          <w:tcPr>
            <w:tcW w:w="7740" w:type="dxa"/>
            <w:gridSpan w:val="3"/>
          </w:tcPr>
          <w:p w14:paraId="65EA6ADB" w14:textId="77777777" w:rsidR="00075928" w:rsidRDefault="009932F3">
            <w:pPr>
              <w:pStyle w:val="ListParagraph"/>
              <w:numPr>
                <w:ilvl w:val="0"/>
                <w:numId w:val="1"/>
              </w:numPr>
              <w:ind w:left="350" w:hanging="270"/>
              <w:rPr>
                <w:rFonts w:ascii="Arial" w:hAnsi="Arial" w:cs="Arial"/>
                <w:kern w:val="0"/>
                <w:sz w:val="20"/>
                <w:szCs w:val="20"/>
              </w:rPr>
            </w:pPr>
            <w:r>
              <w:rPr>
                <w:rFonts w:ascii="Arial" w:hAnsi="Arial" w:cs="Arial"/>
                <w:kern w:val="0"/>
                <w:sz w:val="20"/>
                <w:szCs w:val="20"/>
              </w:rPr>
              <w:t>Author(s)</w:t>
            </w:r>
          </w:p>
          <w:p w14:paraId="65EA6ADC" w14:textId="77777777" w:rsidR="00075928" w:rsidRDefault="00075928">
            <w:pPr>
              <w:pStyle w:val="ListParagraph"/>
              <w:ind w:left="350"/>
              <w:rPr>
                <w:rFonts w:ascii="Arial" w:hAnsi="Arial" w:cs="Arial"/>
                <w:kern w:val="0"/>
                <w:sz w:val="20"/>
                <w:szCs w:val="20"/>
              </w:rPr>
            </w:pPr>
          </w:p>
          <w:p w14:paraId="65EA6ADD" w14:textId="77777777" w:rsidR="00075928" w:rsidRDefault="009932F3">
            <w:pPr>
              <w:pStyle w:val="ListParagraph"/>
              <w:ind w:left="350"/>
              <w:rPr>
                <w:rFonts w:ascii="Arial" w:hAnsi="Arial" w:cs="Arial"/>
                <w:kern w:val="0"/>
                <w:sz w:val="20"/>
                <w:szCs w:val="20"/>
              </w:rPr>
            </w:pPr>
            <w:r>
              <w:rPr>
                <w:rFonts w:ascii="Arial" w:hAnsi="Arial" w:cs="Arial"/>
                <w:kern w:val="0"/>
                <w:sz w:val="20"/>
                <w:szCs w:val="20"/>
              </w:rPr>
              <w:t>Nuo Bao, Graduate student, 0009-0006-4837-7968</w:t>
            </w:r>
          </w:p>
          <w:p w14:paraId="65EA6ADE" w14:textId="77777777" w:rsidR="00075928" w:rsidRDefault="009932F3">
            <w:pPr>
              <w:pStyle w:val="ListParagraph"/>
              <w:ind w:left="350"/>
              <w:rPr>
                <w:rFonts w:ascii="Arial" w:hAnsi="Arial" w:cs="Arial"/>
                <w:kern w:val="0"/>
                <w:sz w:val="20"/>
                <w:szCs w:val="20"/>
              </w:rPr>
            </w:pPr>
            <w:r>
              <w:rPr>
                <w:rFonts w:ascii="Arial" w:hAnsi="Arial" w:cs="Arial"/>
                <w:kern w:val="0"/>
                <w:sz w:val="20"/>
                <w:szCs w:val="20"/>
              </w:rPr>
              <w:t>Hai Lin, Assistant Professor, 0000-0002-1641-4588</w:t>
            </w:r>
          </w:p>
          <w:p w14:paraId="65EA6ADF" w14:textId="77777777" w:rsidR="00075928" w:rsidRDefault="009932F3">
            <w:pPr>
              <w:pStyle w:val="ListParagraph"/>
              <w:ind w:left="350"/>
              <w:rPr>
                <w:rFonts w:ascii="Arial" w:hAnsi="Arial" w:cs="Arial"/>
                <w:kern w:val="0"/>
                <w:sz w:val="20"/>
                <w:szCs w:val="20"/>
              </w:rPr>
            </w:pPr>
            <w:r>
              <w:rPr>
                <w:rFonts w:ascii="Arial" w:hAnsi="Arial" w:cs="Arial"/>
                <w:kern w:val="0"/>
                <w:sz w:val="20"/>
                <w:szCs w:val="20"/>
              </w:rPr>
              <w:t>Yen-Fang Su, Assistant Professor, 0000-0001-8410-0997</w:t>
            </w:r>
          </w:p>
        </w:tc>
        <w:tc>
          <w:tcPr>
            <w:tcW w:w="3900" w:type="dxa"/>
            <w:gridSpan w:val="3"/>
          </w:tcPr>
          <w:p w14:paraId="65EA6AE0"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Performing Organization Report No.</w:t>
            </w:r>
          </w:p>
          <w:p w14:paraId="65EA6AE1" w14:textId="77777777" w:rsidR="00075928" w:rsidRDefault="00075928">
            <w:pPr>
              <w:pStyle w:val="ListParagraph"/>
              <w:ind w:left="270" w:firstLine="90"/>
              <w:rPr>
                <w:rFonts w:ascii="Arial" w:hAnsi="Arial" w:cs="Arial"/>
                <w:kern w:val="0"/>
                <w:sz w:val="20"/>
                <w:szCs w:val="20"/>
              </w:rPr>
            </w:pPr>
          </w:p>
          <w:p w14:paraId="65EA6AE2" w14:textId="77777777" w:rsidR="00075928" w:rsidRDefault="009932F3">
            <w:pPr>
              <w:pStyle w:val="ListParagraph"/>
              <w:ind w:left="270" w:firstLine="90"/>
              <w:rPr>
                <w:rFonts w:ascii="Arial" w:hAnsi="Arial" w:cs="Arial"/>
                <w:kern w:val="0"/>
                <w:sz w:val="20"/>
                <w:szCs w:val="20"/>
              </w:rPr>
            </w:pPr>
            <w:r>
              <w:rPr>
                <w:rFonts w:ascii="Arial" w:hAnsi="Arial" w:cs="Arial"/>
                <w:kern w:val="0"/>
                <w:sz w:val="20"/>
                <w:szCs w:val="20"/>
              </w:rPr>
              <w:t>69A3552348333</w:t>
            </w:r>
          </w:p>
        </w:tc>
      </w:tr>
      <w:tr w:rsidR="00075928" w14:paraId="65EA6AED" w14:textId="77777777">
        <w:trPr>
          <w:trHeight w:val="899"/>
        </w:trPr>
        <w:tc>
          <w:tcPr>
            <w:tcW w:w="7740" w:type="dxa"/>
            <w:gridSpan w:val="3"/>
            <w:vMerge w:val="restart"/>
          </w:tcPr>
          <w:p w14:paraId="65EA6AE4" w14:textId="77777777" w:rsidR="00075928" w:rsidRDefault="009932F3">
            <w:pPr>
              <w:pStyle w:val="ListParagraph"/>
              <w:numPr>
                <w:ilvl w:val="0"/>
                <w:numId w:val="1"/>
              </w:numPr>
              <w:ind w:left="350" w:hanging="270"/>
              <w:rPr>
                <w:rFonts w:ascii="Arial" w:hAnsi="Arial" w:cs="Arial"/>
                <w:kern w:val="0"/>
                <w:sz w:val="20"/>
                <w:szCs w:val="20"/>
              </w:rPr>
            </w:pPr>
            <w:r>
              <w:rPr>
                <w:rFonts w:ascii="Arial" w:hAnsi="Arial" w:cs="Arial"/>
                <w:kern w:val="0"/>
                <w:sz w:val="20"/>
                <w:szCs w:val="20"/>
              </w:rPr>
              <w:t>Performing Organization Name and Address</w:t>
            </w:r>
          </w:p>
          <w:p w14:paraId="65EA6AE5" w14:textId="77777777" w:rsidR="00075928" w:rsidRDefault="00075928">
            <w:pPr>
              <w:pStyle w:val="ListParagraph"/>
              <w:ind w:left="1440"/>
              <w:rPr>
                <w:rFonts w:ascii="Arial" w:hAnsi="Arial" w:cs="Arial"/>
                <w:kern w:val="0"/>
                <w:sz w:val="20"/>
                <w:szCs w:val="20"/>
              </w:rPr>
            </w:pPr>
          </w:p>
          <w:p w14:paraId="65EA6AE6" w14:textId="77777777" w:rsidR="00075928" w:rsidRDefault="009932F3">
            <w:pPr>
              <w:pStyle w:val="ListParagraph"/>
              <w:ind w:left="1440" w:hanging="1090"/>
              <w:rPr>
                <w:rFonts w:ascii="Arial" w:hAnsi="Arial" w:cs="Arial"/>
                <w:kern w:val="0"/>
                <w:sz w:val="20"/>
                <w:szCs w:val="20"/>
              </w:rPr>
            </w:pPr>
            <w:r>
              <w:rPr>
                <w:rFonts w:ascii="Arial" w:hAnsi="Arial" w:cs="Arial"/>
                <w:kern w:val="0"/>
                <w:sz w:val="20"/>
                <w:szCs w:val="20"/>
              </w:rPr>
              <w:t>Louisiana State University</w:t>
            </w:r>
          </w:p>
          <w:p w14:paraId="65EA6AE7" w14:textId="77777777" w:rsidR="00075928" w:rsidRDefault="009932F3">
            <w:pPr>
              <w:pStyle w:val="ListParagraph"/>
              <w:ind w:left="1440" w:hanging="1090"/>
              <w:rPr>
                <w:rFonts w:ascii="Arial" w:hAnsi="Arial" w:cs="Arial"/>
                <w:kern w:val="0"/>
                <w:sz w:val="20"/>
                <w:szCs w:val="20"/>
              </w:rPr>
            </w:pPr>
            <w:r>
              <w:rPr>
                <w:rFonts w:ascii="Arial" w:hAnsi="Arial" w:cs="Arial"/>
                <w:kern w:val="0"/>
                <w:sz w:val="20"/>
                <w:szCs w:val="20"/>
              </w:rPr>
              <w:t>Department of Civil and Environmental Engineering</w:t>
            </w:r>
          </w:p>
          <w:p w14:paraId="65EA6AE8" w14:textId="77777777" w:rsidR="00075928" w:rsidRDefault="009932F3">
            <w:pPr>
              <w:pStyle w:val="ListParagraph"/>
              <w:ind w:left="1440" w:hanging="1090"/>
              <w:rPr>
                <w:rFonts w:ascii="Arial" w:hAnsi="Arial" w:cs="Arial"/>
                <w:kern w:val="0"/>
                <w:sz w:val="20"/>
                <w:szCs w:val="20"/>
              </w:rPr>
            </w:pPr>
            <w:r>
              <w:rPr>
                <w:rFonts w:ascii="Arial" w:hAnsi="Arial" w:cs="Arial"/>
                <w:kern w:val="0"/>
                <w:sz w:val="20"/>
                <w:szCs w:val="20"/>
              </w:rPr>
              <w:t>3255 Patrick F. Taylor Hall,</w:t>
            </w:r>
          </w:p>
          <w:p w14:paraId="65EA6AE9" w14:textId="77777777" w:rsidR="00075928" w:rsidRDefault="009932F3">
            <w:pPr>
              <w:pStyle w:val="ListParagraph"/>
              <w:ind w:left="1440" w:hanging="1090"/>
              <w:rPr>
                <w:rFonts w:ascii="Arial" w:hAnsi="Arial" w:cs="Arial"/>
                <w:kern w:val="0"/>
                <w:sz w:val="20"/>
                <w:szCs w:val="20"/>
              </w:rPr>
            </w:pPr>
            <w:r>
              <w:rPr>
                <w:rFonts w:ascii="Arial" w:hAnsi="Arial" w:cs="Arial"/>
                <w:kern w:val="0"/>
                <w:sz w:val="20"/>
                <w:szCs w:val="20"/>
              </w:rPr>
              <w:t>Baton Rouge, LA, 70803</w:t>
            </w:r>
          </w:p>
        </w:tc>
        <w:tc>
          <w:tcPr>
            <w:tcW w:w="3900" w:type="dxa"/>
            <w:gridSpan w:val="3"/>
          </w:tcPr>
          <w:p w14:paraId="65EA6AEA"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Work Unit No.</w:t>
            </w:r>
          </w:p>
          <w:p w14:paraId="65EA6AEB" w14:textId="77777777" w:rsidR="00075928" w:rsidRDefault="00075928">
            <w:pPr>
              <w:pStyle w:val="ListParagraph"/>
              <w:ind w:left="1440" w:hanging="1080"/>
              <w:rPr>
                <w:rFonts w:ascii="Arial" w:hAnsi="Arial" w:cs="Arial"/>
                <w:kern w:val="0"/>
                <w:sz w:val="20"/>
                <w:szCs w:val="20"/>
              </w:rPr>
            </w:pPr>
          </w:p>
          <w:p w14:paraId="65EA6AEC" w14:textId="77777777" w:rsidR="00075928" w:rsidRDefault="009932F3">
            <w:pPr>
              <w:pStyle w:val="ListParagraph"/>
              <w:ind w:left="1440" w:hanging="1080"/>
              <w:rPr>
                <w:rFonts w:ascii="Arial" w:hAnsi="Arial" w:cs="Arial"/>
                <w:kern w:val="0"/>
                <w:sz w:val="20"/>
                <w:szCs w:val="20"/>
              </w:rPr>
            </w:pPr>
            <w:r>
              <w:rPr>
                <w:rFonts w:ascii="Arial" w:hAnsi="Arial" w:cs="Arial"/>
                <w:kern w:val="0"/>
                <w:sz w:val="20"/>
                <w:szCs w:val="20"/>
              </w:rPr>
              <w:t>N/A</w:t>
            </w:r>
          </w:p>
        </w:tc>
      </w:tr>
      <w:tr w:rsidR="00075928" w14:paraId="65EA6AF2" w14:textId="77777777">
        <w:trPr>
          <w:trHeight w:val="840"/>
        </w:trPr>
        <w:tc>
          <w:tcPr>
            <w:tcW w:w="7740" w:type="dxa"/>
            <w:gridSpan w:val="3"/>
            <w:vMerge/>
          </w:tcPr>
          <w:p w14:paraId="65EA6AEE" w14:textId="77777777" w:rsidR="00075928" w:rsidRDefault="00075928">
            <w:pPr>
              <w:ind w:left="1080"/>
              <w:rPr>
                <w:rFonts w:ascii="Arial" w:hAnsi="Arial" w:cs="Arial"/>
                <w:kern w:val="0"/>
                <w:sz w:val="20"/>
                <w:szCs w:val="20"/>
              </w:rPr>
            </w:pPr>
          </w:p>
        </w:tc>
        <w:tc>
          <w:tcPr>
            <w:tcW w:w="3900" w:type="dxa"/>
            <w:gridSpan w:val="3"/>
          </w:tcPr>
          <w:p w14:paraId="65EA6AEF" w14:textId="77777777" w:rsidR="00075928" w:rsidRDefault="009932F3">
            <w:pPr>
              <w:pStyle w:val="ListParagraph"/>
              <w:numPr>
                <w:ilvl w:val="0"/>
                <w:numId w:val="1"/>
              </w:numPr>
              <w:ind w:left="360"/>
              <w:rPr>
                <w:rFonts w:ascii="Arial" w:hAnsi="Arial" w:cs="Arial"/>
                <w:kern w:val="0"/>
                <w:sz w:val="20"/>
                <w:szCs w:val="20"/>
              </w:rPr>
            </w:pPr>
            <w:r>
              <w:rPr>
                <w:rFonts w:ascii="Arial" w:hAnsi="Arial" w:cs="Arial"/>
                <w:kern w:val="0"/>
                <w:sz w:val="20"/>
                <w:szCs w:val="20"/>
              </w:rPr>
              <w:t>Contract or Grant No.</w:t>
            </w:r>
          </w:p>
          <w:p w14:paraId="65EA6AF0" w14:textId="77777777" w:rsidR="00075928" w:rsidRDefault="00075928">
            <w:pPr>
              <w:pStyle w:val="ListParagraph"/>
              <w:ind w:left="360"/>
              <w:rPr>
                <w:rFonts w:ascii="Arial" w:hAnsi="Arial" w:cs="Arial"/>
                <w:kern w:val="0"/>
                <w:sz w:val="20"/>
                <w:szCs w:val="20"/>
              </w:rPr>
            </w:pPr>
          </w:p>
          <w:p w14:paraId="65EA6AF1" w14:textId="77777777" w:rsidR="00075928" w:rsidRDefault="009932F3">
            <w:pPr>
              <w:pStyle w:val="ListParagraph"/>
              <w:ind w:left="360"/>
              <w:rPr>
                <w:rFonts w:ascii="Arial" w:hAnsi="Arial" w:cs="Arial"/>
                <w:kern w:val="0"/>
                <w:sz w:val="20"/>
                <w:szCs w:val="20"/>
              </w:rPr>
            </w:pPr>
            <w:r>
              <w:rPr>
                <w:rFonts w:ascii="Arial" w:hAnsi="Arial" w:cs="Arial"/>
                <w:kern w:val="0"/>
                <w:sz w:val="20"/>
                <w:szCs w:val="20"/>
              </w:rPr>
              <w:t>69A3552348333</w:t>
            </w:r>
          </w:p>
        </w:tc>
      </w:tr>
      <w:tr w:rsidR="00075928" w14:paraId="65EA6AFC" w14:textId="77777777">
        <w:trPr>
          <w:trHeight w:val="854"/>
        </w:trPr>
        <w:tc>
          <w:tcPr>
            <w:tcW w:w="7740" w:type="dxa"/>
            <w:gridSpan w:val="3"/>
            <w:vMerge w:val="restart"/>
          </w:tcPr>
          <w:p w14:paraId="65EA6AF3" w14:textId="77777777" w:rsidR="00075928" w:rsidRDefault="009932F3">
            <w:pPr>
              <w:pStyle w:val="ListParagraph"/>
              <w:numPr>
                <w:ilvl w:val="0"/>
                <w:numId w:val="1"/>
              </w:numPr>
              <w:ind w:left="440"/>
              <w:rPr>
                <w:rFonts w:ascii="Arial" w:hAnsi="Arial" w:cs="Arial"/>
                <w:kern w:val="0"/>
                <w:sz w:val="20"/>
                <w:szCs w:val="20"/>
              </w:rPr>
            </w:pPr>
            <w:r>
              <w:rPr>
                <w:rFonts w:ascii="Arial" w:hAnsi="Arial" w:cs="Arial"/>
                <w:kern w:val="0"/>
                <w:sz w:val="20"/>
                <w:szCs w:val="20"/>
              </w:rPr>
              <w:t>Sponsoring Organization Name and Address</w:t>
            </w:r>
          </w:p>
          <w:p w14:paraId="65EA6AF4" w14:textId="77777777" w:rsidR="00075928" w:rsidRDefault="00075928">
            <w:pPr>
              <w:rPr>
                <w:rFonts w:ascii="Arial" w:hAnsi="Arial" w:cs="Arial"/>
                <w:kern w:val="0"/>
                <w:sz w:val="20"/>
                <w:szCs w:val="20"/>
              </w:rPr>
            </w:pPr>
          </w:p>
          <w:p w14:paraId="65EA6AF5"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Transportation Infrastructure Precast               US Department of Transportation</w:t>
            </w:r>
          </w:p>
          <w:p w14:paraId="65EA6AF6"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 xml:space="preserve">Innovation Center (TRANS-IPIC)                      Office of Research, Development and University of Illinois Urbana-Champaign.          Technology (RD&amp;T) </w:t>
            </w:r>
          </w:p>
          <w:p w14:paraId="65EA6AF7"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Civil &amp; Environmental Engineering.                   1200 New Jersey Avenue, SE</w:t>
            </w:r>
          </w:p>
          <w:p w14:paraId="65EA6AF8"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205 N Mathews Ave, Urbana, IL 61801            Washington, DC 201590</w:t>
            </w:r>
          </w:p>
        </w:tc>
        <w:tc>
          <w:tcPr>
            <w:tcW w:w="3900" w:type="dxa"/>
            <w:gridSpan w:val="3"/>
          </w:tcPr>
          <w:p w14:paraId="65EA6AF9" w14:textId="77777777" w:rsidR="00075928" w:rsidRDefault="009932F3">
            <w:pPr>
              <w:pStyle w:val="ListParagraph"/>
              <w:numPr>
                <w:ilvl w:val="0"/>
                <w:numId w:val="1"/>
              </w:numPr>
              <w:ind w:left="350" w:hanging="350"/>
              <w:rPr>
                <w:rFonts w:ascii="Arial" w:hAnsi="Arial" w:cs="Arial"/>
                <w:kern w:val="0"/>
                <w:sz w:val="20"/>
                <w:szCs w:val="20"/>
              </w:rPr>
            </w:pPr>
            <w:r>
              <w:rPr>
                <w:rFonts w:ascii="Arial" w:hAnsi="Arial" w:cs="Arial"/>
                <w:kern w:val="0"/>
                <w:sz w:val="20"/>
                <w:szCs w:val="20"/>
              </w:rPr>
              <w:t>Type of Report and Period Covered</w:t>
            </w:r>
          </w:p>
          <w:p w14:paraId="65EA6AFA" w14:textId="77777777" w:rsidR="00075928" w:rsidRDefault="009932F3">
            <w:pPr>
              <w:pStyle w:val="ListParagraph"/>
              <w:ind w:left="350"/>
              <w:rPr>
                <w:rFonts w:ascii="Arial" w:hAnsi="Arial" w:cs="Arial"/>
                <w:kern w:val="0"/>
                <w:sz w:val="20"/>
                <w:szCs w:val="20"/>
              </w:rPr>
            </w:pPr>
            <w:r>
              <w:rPr>
                <w:rFonts w:ascii="Arial" w:hAnsi="Arial" w:cs="Arial"/>
                <w:kern w:val="0"/>
                <w:sz w:val="20"/>
                <w:szCs w:val="20"/>
              </w:rPr>
              <w:t>Final Report</w:t>
            </w:r>
          </w:p>
          <w:p w14:paraId="65EA6AFB" w14:textId="77777777" w:rsidR="00075928" w:rsidRDefault="009932F3">
            <w:pPr>
              <w:pStyle w:val="ListParagraph"/>
              <w:ind w:left="350"/>
              <w:rPr>
                <w:rFonts w:ascii="Arial" w:hAnsi="Arial" w:cs="Arial"/>
                <w:kern w:val="0"/>
                <w:sz w:val="20"/>
                <w:szCs w:val="20"/>
              </w:rPr>
            </w:pPr>
            <w:r>
              <w:rPr>
                <w:rFonts w:ascii="Arial" w:hAnsi="Arial" w:cs="Arial"/>
                <w:kern w:val="0"/>
                <w:sz w:val="20"/>
                <w:szCs w:val="20"/>
              </w:rPr>
              <w:t>January 2024 – June 2025]</w:t>
            </w:r>
          </w:p>
        </w:tc>
      </w:tr>
      <w:tr w:rsidR="00075928" w14:paraId="65EA6B01" w14:textId="77777777">
        <w:trPr>
          <w:trHeight w:val="890"/>
        </w:trPr>
        <w:tc>
          <w:tcPr>
            <w:tcW w:w="7740" w:type="dxa"/>
            <w:gridSpan w:val="3"/>
            <w:vMerge/>
          </w:tcPr>
          <w:p w14:paraId="65EA6AFD" w14:textId="77777777" w:rsidR="00075928" w:rsidRDefault="00075928">
            <w:pPr>
              <w:pStyle w:val="ListParagraph"/>
              <w:numPr>
                <w:ilvl w:val="0"/>
                <w:numId w:val="1"/>
              </w:numPr>
              <w:rPr>
                <w:rFonts w:ascii="Arial" w:hAnsi="Arial" w:cs="Arial"/>
                <w:kern w:val="0"/>
                <w:sz w:val="20"/>
                <w:szCs w:val="20"/>
              </w:rPr>
            </w:pPr>
          </w:p>
        </w:tc>
        <w:tc>
          <w:tcPr>
            <w:tcW w:w="3900" w:type="dxa"/>
            <w:gridSpan w:val="3"/>
          </w:tcPr>
          <w:p w14:paraId="65EA6AFE" w14:textId="77777777" w:rsidR="00075928" w:rsidRDefault="009932F3">
            <w:pPr>
              <w:ind w:left="980" w:hanging="980"/>
              <w:rPr>
                <w:rFonts w:ascii="Arial" w:hAnsi="Arial" w:cs="Arial"/>
                <w:kern w:val="0"/>
                <w:sz w:val="20"/>
                <w:szCs w:val="20"/>
              </w:rPr>
            </w:pPr>
            <w:r>
              <w:rPr>
                <w:rFonts w:ascii="Arial" w:hAnsi="Arial" w:cs="Arial"/>
                <w:kern w:val="0"/>
                <w:sz w:val="20"/>
                <w:szCs w:val="20"/>
              </w:rPr>
              <w:t>14. Sponsoring Agency Code</w:t>
            </w:r>
          </w:p>
          <w:p w14:paraId="65EA6AFF" w14:textId="77777777" w:rsidR="00075928" w:rsidRDefault="00075928">
            <w:pPr>
              <w:ind w:left="980" w:hanging="980"/>
              <w:rPr>
                <w:rFonts w:ascii="Arial" w:hAnsi="Arial" w:cs="Arial"/>
                <w:kern w:val="0"/>
                <w:sz w:val="20"/>
                <w:szCs w:val="20"/>
              </w:rPr>
            </w:pPr>
          </w:p>
          <w:p w14:paraId="65EA6B00" w14:textId="77777777" w:rsidR="00075928" w:rsidRDefault="009932F3">
            <w:pPr>
              <w:ind w:left="980" w:hanging="980"/>
              <w:rPr>
                <w:rFonts w:ascii="Arial" w:hAnsi="Arial" w:cs="Arial"/>
                <w:kern w:val="0"/>
                <w:sz w:val="20"/>
                <w:szCs w:val="20"/>
              </w:rPr>
            </w:pPr>
            <w:r>
              <w:rPr>
                <w:rFonts w:ascii="Arial" w:hAnsi="Arial" w:cs="Arial"/>
                <w:kern w:val="0"/>
                <w:sz w:val="20"/>
                <w:szCs w:val="20"/>
              </w:rPr>
              <w:t xml:space="preserve">      N/A</w:t>
            </w:r>
          </w:p>
        </w:tc>
      </w:tr>
      <w:tr w:rsidR="00075928" w14:paraId="65EA6B05" w14:textId="77777777">
        <w:trPr>
          <w:trHeight w:val="854"/>
        </w:trPr>
        <w:tc>
          <w:tcPr>
            <w:tcW w:w="11640" w:type="dxa"/>
            <w:gridSpan w:val="6"/>
          </w:tcPr>
          <w:p w14:paraId="65EA6B02" w14:textId="77777777" w:rsidR="00075928" w:rsidRDefault="009932F3">
            <w:pPr>
              <w:ind w:left="1080" w:hanging="1000"/>
              <w:rPr>
                <w:rFonts w:ascii="Arial" w:hAnsi="Arial" w:cs="Arial"/>
                <w:kern w:val="0"/>
                <w:sz w:val="20"/>
                <w:szCs w:val="20"/>
              </w:rPr>
            </w:pPr>
            <w:r>
              <w:rPr>
                <w:rFonts w:ascii="Arial" w:hAnsi="Arial" w:cs="Arial"/>
                <w:kern w:val="0"/>
                <w:sz w:val="20"/>
                <w:szCs w:val="20"/>
              </w:rPr>
              <w:t>15. Supplementary Notes</w:t>
            </w:r>
          </w:p>
          <w:p w14:paraId="65EA6B03" w14:textId="77777777" w:rsidR="00075928" w:rsidRDefault="00075928">
            <w:pPr>
              <w:ind w:left="1080" w:hanging="1000"/>
              <w:rPr>
                <w:rFonts w:ascii="Arial" w:hAnsi="Arial" w:cs="Arial"/>
                <w:kern w:val="0"/>
                <w:sz w:val="20"/>
                <w:szCs w:val="20"/>
              </w:rPr>
            </w:pPr>
          </w:p>
          <w:p w14:paraId="65EA6B04" w14:textId="77777777" w:rsidR="00075928" w:rsidRDefault="009932F3">
            <w:pPr>
              <w:ind w:left="1080" w:hanging="1000"/>
              <w:rPr>
                <w:rFonts w:ascii="Arial" w:hAnsi="Arial" w:cs="Arial"/>
                <w:kern w:val="0"/>
                <w:sz w:val="20"/>
                <w:szCs w:val="20"/>
              </w:rPr>
            </w:pPr>
            <w:r>
              <w:rPr>
                <w:rFonts w:ascii="Arial" w:hAnsi="Arial" w:cs="Arial"/>
                <w:kern w:val="0"/>
                <w:sz w:val="20"/>
                <w:szCs w:val="20"/>
              </w:rPr>
              <w:t>For additional reports and information visit the TRANS-IPIC website https://trans-ipic.illinois.edu</w:t>
            </w:r>
          </w:p>
        </w:tc>
      </w:tr>
      <w:tr w:rsidR="00075928" w14:paraId="65EA6B09" w14:textId="77777777">
        <w:trPr>
          <w:trHeight w:val="2510"/>
        </w:trPr>
        <w:tc>
          <w:tcPr>
            <w:tcW w:w="11640" w:type="dxa"/>
            <w:gridSpan w:val="6"/>
          </w:tcPr>
          <w:p w14:paraId="65EA6B06" w14:textId="77777777" w:rsidR="00075928" w:rsidRDefault="009932F3">
            <w:pPr>
              <w:ind w:left="1080" w:hanging="1000"/>
              <w:rPr>
                <w:rFonts w:ascii="Arial" w:hAnsi="Arial" w:cs="Arial"/>
                <w:kern w:val="0"/>
                <w:sz w:val="20"/>
                <w:szCs w:val="20"/>
              </w:rPr>
            </w:pPr>
            <w:r>
              <w:rPr>
                <w:rFonts w:ascii="Arial" w:hAnsi="Arial" w:cs="Arial"/>
                <w:kern w:val="0"/>
                <w:sz w:val="20"/>
                <w:szCs w:val="20"/>
              </w:rPr>
              <w:t>16. Abstract</w:t>
            </w:r>
          </w:p>
          <w:p w14:paraId="65EA6B07" w14:textId="77777777" w:rsidR="00075928" w:rsidRDefault="00075928">
            <w:pPr>
              <w:rPr>
                <w:rFonts w:ascii="Arial" w:hAnsi="Arial" w:cs="Arial"/>
                <w:color w:val="EE0000"/>
                <w:kern w:val="0"/>
                <w:sz w:val="20"/>
                <w:szCs w:val="20"/>
                <w:lang w:eastAsia="zh-CN"/>
              </w:rPr>
            </w:pPr>
          </w:p>
          <w:p w14:paraId="65EA6B08" w14:textId="77777777" w:rsidR="00075928" w:rsidRDefault="009932F3">
            <w:pPr>
              <w:rPr>
                <w:rFonts w:ascii="Arial" w:hAnsi="Arial" w:cs="Arial"/>
                <w:kern w:val="0"/>
                <w:sz w:val="20"/>
                <w:szCs w:val="20"/>
                <w:lang w:eastAsia="zh-CN"/>
              </w:rPr>
            </w:pPr>
            <w:r>
              <w:rPr>
                <w:rFonts w:ascii="Arial" w:hAnsi="Arial" w:cs="Arial"/>
                <w:kern w:val="0"/>
                <w:sz w:val="20"/>
                <w:szCs w:val="20"/>
                <w:lang w:eastAsia="zh-CN"/>
              </w:rPr>
              <w:t xml:space="preserve">Cracking in cement-based materials significantly compromises their durability and long-term structural performance. This study investigates a bio-mediated self-healing strategy by incorporating bacterial and fungal agents into mortar samples. Artificial cracks were induced via split tensile testing, and healing behavior was evaluated through ultrasonic wave velocity measurements and water absorption tests over a 16-day curing period. Wave speed and water absorption measurements indicated signs of partial healing in samples treated with </w:t>
            </w:r>
            <w:r>
              <w:rPr>
                <w:rFonts w:ascii="Arial" w:hAnsi="Arial" w:cs="Arial"/>
                <w:i/>
                <w:iCs/>
                <w:kern w:val="0"/>
                <w:sz w:val="20"/>
                <w:szCs w:val="20"/>
                <w:lang w:eastAsia="zh-CN"/>
              </w:rPr>
              <w:t>Sporosarcina pasteurii</w:t>
            </w:r>
            <w:r>
              <w:rPr>
                <w:rFonts w:ascii="Arial" w:hAnsi="Arial" w:cs="Arial"/>
                <w:kern w:val="0"/>
                <w:sz w:val="20"/>
                <w:szCs w:val="20"/>
                <w:lang w:eastAsia="zh-CN"/>
              </w:rPr>
              <w:t xml:space="preserve"> combined with either </w:t>
            </w:r>
            <w:r>
              <w:rPr>
                <w:rFonts w:ascii="Arial" w:hAnsi="Arial" w:cs="Arial"/>
                <w:i/>
                <w:iCs/>
                <w:kern w:val="0"/>
                <w:sz w:val="20"/>
                <w:szCs w:val="20"/>
                <w:lang w:eastAsia="zh-CN"/>
              </w:rPr>
              <w:t>Aspergillus niger</w:t>
            </w:r>
            <w:r>
              <w:rPr>
                <w:rFonts w:ascii="Arial" w:hAnsi="Arial" w:cs="Arial"/>
                <w:kern w:val="0"/>
                <w:sz w:val="20"/>
                <w:szCs w:val="20"/>
                <w:lang w:eastAsia="zh-CN"/>
              </w:rPr>
              <w:t xml:space="preserve"> </w:t>
            </w:r>
            <w:r>
              <w:rPr>
                <w:rFonts w:ascii="Arial" w:eastAsia="Times New Roman" w:hAnsi="Arial" w:cs="Arial"/>
                <w:sz w:val="20"/>
                <w:szCs w:val="20"/>
                <w14:ligatures w14:val="none"/>
              </w:rPr>
              <w:t>(ATCC 9029)</w:t>
            </w:r>
            <w:r>
              <w:rPr>
                <w:rFonts w:ascii="Arial" w:eastAsiaTheme="minorEastAsia" w:hAnsi="Arial" w:cs="Arial" w:hint="eastAsia"/>
                <w:sz w:val="20"/>
                <w:szCs w:val="20"/>
                <w:lang w:eastAsia="zh-CN"/>
                <w14:ligatures w14:val="none"/>
              </w:rPr>
              <w:t xml:space="preserve"> </w:t>
            </w:r>
            <w:r>
              <w:rPr>
                <w:rFonts w:ascii="Arial" w:hAnsi="Arial" w:cs="Arial"/>
                <w:kern w:val="0"/>
                <w:sz w:val="20"/>
                <w:szCs w:val="20"/>
                <w:lang w:eastAsia="zh-CN"/>
              </w:rPr>
              <w:t xml:space="preserve">or </w:t>
            </w:r>
            <w:r>
              <w:rPr>
                <w:rFonts w:ascii="Arial" w:hAnsi="Arial" w:cs="Arial"/>
                <w:i/>
                <w:iCs/>
                <w:kern w:val="0"/>
                <w:sz w:val="20"/>
                <w:szCs w:val="20"/>
                <w:lang w:eastAsia="zh-CN"/>
              </w:rPr>
              <w:t>Neurospora crassa</w:t>
            </w:r>
            <w:r>
              <w:rPr>
                <w:rFonts w:ascii="Arial" w:hAnsi="Arial" w:cs="Arial" w:hint="eastAsia"/>
                <w:i/>
                <w:iCs/>
                <w:kern w:val="0"/>
                <w:sz w:val="20"/>
                <w:szCs w:val="20"/>
                <w:lang w:eastAsia="zh-CN"/>
              </w:rPr>
              <w:t xml:space="preserve"> </w:t>
            </w:r>
            <w:r>
              <w:rPr>
                <w:rFonts w:ascii="Arial" w:eastAsia="Times New Roman" w:hAnsi="Arial" w:cs="Arial"/>
                <w:sz w:val="20"/>
                <w:szCs w:val="20"/>
                <w14:ligatures w14:val="none"/>
              </w:rPr>
              <w:t>(FGSC 2489)</w:t>
            </w:r>
            <w:r>
              <w:rPr>
                <w:rFonts w:ascii="Arial" w:hAnsi="Arial" w:cs="Arial"/>
                <w:kern w:val="0"/>
                <w:sz w:val="20"/>
                <w:szCs w:val="20"/>
                <w:lang w:eastAsia="zh-CN"/>
              </w:rPr>
              <w:t xml:space="preserve">, compared to the untreated control group. Compressive strength tests at 28 days revealed that samples treated with </w:t>
            </w:r>
            <w:r>
              <w:rPr>
                <w:rFonts w:ascii="Arial" w:hAnsi="Arial" w:cs="Arial"/>
                <w:i/>
                <w:iCs/>
                <w:kern w:val="0"/>
                <w:sz w:val="20"/>
                <w:szCs w:val="20"/>
                <w:lang w:eastAsia="zh-CN"/>
              </w:rPr>
              <w:t>Aspergillus niger</w:t>
            </w:r>
            <w:r>
              <w:rPr>
                <w:rFonts w:ascii="Arial" w:hAnsi="Arial" w:cs="Arial"/>
                <w:kern w:val="0"/>
                <w:sz w:val="20"/>
                <w:szCs w:val="20"/>
                <w:lang w:eastAsia="zh-CN"/>
              </w:rPr>
              <w:t xml:space="preserve"> or </w:t>
            </w:r>
            <w:r>
              <w:rPr>
                <w:rFonts w:ascii="Arial" w:hAnsi="Arial" w:cs="Arial"/>
                <w:i/>
                <w:iCs/>
                <w:kern w:val="0"/>
                <w:sz w:val="20"/>
                <w:szCs w:val="20"/>
                <w:lang w:eastAsia="zh-CN"/>
              </w:rPr>
              <w:t>Neurospora crassa</w:t>
            </w:r>
            <w:r>
              <w:rPr>
                <w:rFonts w:ascii="Arial" w:hAnsi="Arial" w:cs="Arial"/>
                <w:kern w:val="0"/>
                <w:sz w:val="20"/>
                <w:szCs w:val="20"/>
                <w:lang w:eastAsia="zh-CN"/>
              </w:rPr>
              <w:t xml:space="preserve"> achieved higher strength than the control group before cracking was introduced. These preliminary findings suggest that microbial-based approaches may offer promising potential for enhancing crack management in cementitious materials.</w:t>
            </w:r>
          </w:p>
        </w:tc>
      </w:tr>
      <w:tr w:rsidR="00075928" w14:paraId="65EA6B10" w14:textId="77777777">
        <w:trPr>
          <w:trHeight w:val="980"/>
        </w:trPr>
        <w:tc>
          <w:tcPr>
            <w:tcW w:w="7924" w:type="dxa"/>
            <w:gridSpan w:val="4"/>
          </w:tcPr>
          <w:p w14:paraId="65EA6B0A" w14:textId="77777777" w:rsidR="00075928" w:rsidRDefault="009932F3">
            <w:pPr>
              <w:ind w:left="80"/>
              <w:rPr>
                <w:rFonts w:ascii="Arial" w:hAnsi="Arial" w:cs="Arial"/>
                <w:kern w:val="0"/>
                <w:sz w:val="20"/>
                <w:szCs w:val="20"/>
              </w:rPr>
            </w:pPr>
            <w:r>
              <w:rPr>
                <w:rFonts w:ascii="Arial" w:hAnsi="Arial" w:cs="Arial"/>
                <w:kern w:val="0"/>
                <w:sz w:val="20"/>
                <w:szCs w:val="20"/>
              </w:rPr>
              <w:t>17. Key Words</w:t>
            </w:r>
          </w:p>
          <w:p w14:paraId="65EA6B0B" w14:textId="77777777" w:rsidR="00075928" w:rsidRDefault="00075928">
            <w:pPr>
              <w:ind w:left="80"/>
              <w:rPr>
                <w:rFonts w:ascii="Arial" w:hAnsi="Arial" w:cs="Arial"/>
                <w:kern w:val="0"/>
                <w:sz w:val="20"/>
                <w:szCs w:val="20"/>
              </w:rPr>
            </w:pPr>
          </w:p>
          <w:p w14:paraId="65EA6B0C" w14:textId="77777777" w:rsidR="00075928" w:rsidRDefault="009932F3">
            <w:pPr>
              <w:ind w:left="80"/>
              <w:rPr>
                <w:rFonts w:ascii="Arial" w:hAnsi="Arial" w:cs="Arial"/>
                <w:kern w:val="0"/>
                <w:sz w:val="20"/>
                <w:szCs w:val="20"/>
              </w:rPr>
            </w:pPr>
            <w:r>
              <w:rPr>
                <w:rFonts w:ascii="Arial" w:hAnsi="Arial" w:cs="Arial"/>
                <w:kern w:val="0"/>
                <w:sz w:val="20"/>
                <w:szCs w:val="20"/>
              </w:rPr>
              <w:t>self</w:t>
            </w:r>
            <w:r>
              <w:rPr>
                <w:rFonts w:ascii="Arial" w:hAnsi="Arial" w:cs="Arial"/>
                <w:kern w:val="0"/>
                <w:sz w:val="20"/>
                <w:szCs w:val="20"/>
              </w:rPr>
              <w:noBreakHyphen/>
              <w:t>healing concrete; microbial</w:t>
            </w:r>
            <w:r>
              <w:rPr>
                <w:rFonts w:ascii="Arial" w:hAnsi="Arial" w:cs="Arial"/>
                <w:kern w:val="0"/>
                <w:sz w:val="20"/>
                <w:szCs w:val="20"/>
              </w:rPr>
              <w:noBreakHyphen/>
              <w:t>induced calcium carbonate precipitation; bacterial treatment; fungal</w:t>
            </w:r>
            <w:r>
              <w:rPr>
                <w:rFonts w:ascii="Arial" w:hAnsi="Arial" w:cs="Arial"/>
                <w:kern w:val="0"/>
                <w:sz w:val="20"/>
                <w:szCs w:val="20"/>
              </w:rPr>
              <w:noBreakHyphen/>
              <w:t>induced carbonate precipitation; water absorption; crack healing</w:t>
            </w:r>
          </w:p>
        </w:tc>
        <w:tc>
          <w:tcPr>
            <w:tcW w:w="3716" w:type="dxa"/>
            <w:gridSpan w:val="2"/>
          </w:tcPr>
          <w:p w14:paraId="65EA6B0D" w14:textId="77777777" w:rsidR="00075928" w:rsidRDefault="009932F3">
            <w:pPr>
              <w:ind w:left="1080" w:hanging="1130"/>
              <w:rPr>
                <w:rFonts w:ascii="Arial" w:hAnsi="Arial" w:cs="Arial"/>
                <w:kern w:val="0"/>
                <w:sz w:val="20"/>
                <w:szCs w:val="20"/>
              </w:rPr>
            </w:pPr>
            <w:r>
              <w:rPr>
                <w:rFonts w:ascii="Arial" w:hAnsi="Arial" w:cs="Arial"/>
                <w:kern w:val="0"/>
                <w:sz w:val="20"/>
                <w:szCs w:val="20"/>
              </w:rPr>
              <w:t>18. Distribution Statement</w:t>
            </w:r>
          </w:p>
          <w:p w14:paraId="65EA6B0E" w14:textId="77777777" w:rsidR="00075928" w:rsidRDefault="00075928">
            <w:pPr>
              <w:ind w:left="1080" w:hanging="1130"/>
              <w:rPr>
                <w:rFonts w:ascii="Arial" w:hAnsi="Arial" w:cs="Arial"/>
                <w:kern w:val="0"/>
                <w:sz w:val="20"/>
                <w:szCs w:val="20"/>
              </w:rPr>
            </w:pPr>
          </w:p>
          <w:p w14:paraId="65EA6B0F" w14:textId="77777777" w:rsidR="00075928" w:rsidRDefault="009932F3">
            <w:pPr>
              <w:ind w:left="1080" w:hanging="1130"/>
              <w:rPr>
                <w:rFonts w:ascii="Arial" w:hAnsi="Arial" w:cs="Arial"/>
                <w:kern w:val="0"/>
                <w:sz w:val="20"/>
                <w:szCs w:val="20"/>
              </w:rPr>
            </w:pPr>
            <w:r>
              <w:rPr>
                <w:rFonts w:ascii="Arial" w:hAnsi="Arial" w:cs="Arial"/>
                <w:kern w:val="0"/>
                <w:sz w:val="20"/>
                <w:szCs w:val="20"/>
              </w:rPr>
              <w:t>No restrictions.</w:t>
            </w:r>
          </w:p>
        </w:tc>
      </w:tr>
      <w:tr w:rsidR="00075928" w14:paraId="65EA6B1D" w14:textId="77777777">
        <w:trPr>
          <w:trHeight w:val="881"/>
        </w:trPr>
        <w:tc>
          <w:tcPr>
            <w:tcW w:w="4146" w:type="dxa"/>
          </w:tcPr>
          <w:p w14:paraId="65EA6B11" w14:textId="77777777" w:rsidR="00075928" w:rsidRDefault="009932F3">
            <w:pPr>
              <w:ind w:left="2720" w:hanging="2640"/>
              <w:rPr>
                <w:rFonts w:ascii="Arial" w:hAnsi="Arial" w:cs="Arial"/>
                <w:kern w:val="0"/>
                <w:sz w:val="20"/>
                <w:szCs w:val="20"/>
              </w:rPr>
            </w:pPr>
            <w:r>
              <w:rPr>
                <w:rFonts w:ascii="Arial" w:hAnsi="Arial" w:cs="Arial"/>
                <w:kern w:val="0"/>
                <w:sz w:val="20"/>
                <w:szCs w:val="20"/>
              </w:rPr>
              <w:t>19. Security Classification (of this report)</w:t>
            </w:r>
          </w:p>
          <w:p w14:paraId="65EA6B12" w14:textId="77777777" w:rsidR="00075928" w:rsidRDefault="00075928">
            <w:pPr>
              <w:ind w:left="2720" w:hanging="2640"/>
              <w:rPr>
                <w:rFonts w:ascii="Arial" w:hAnsi="Arial" w:cs="Arial"/>
                <w:kern w:val="0"/>
                <w:sz w:val="20"/>
                <w:szCs w:val="20"/>
              </w:rPr>
            </w:pPr>
          </w:p>
          <w:p w14:paraId="65EA6B13" w14:textId="77777777" w:rsidR="00075928" w:rsidRDefault="009932F3">
            <w:pPr>
              <w:ind w:left="2720" w:hanging="2640"/>
              <w:rPr>
                <w:rFonts w:ascii="Arial" w:hAnsi="Arial" w:cs="Arial"/>
                <w:kern w:val="0"/>
                <w:sz w:val="20"/>
                <w:szCs w:val="20"/>
              </w:rPr>
            </w:pPr>
            <w:r>
              <w:rPr>
                <w:rFonts w:ascii="Arial" w:hAnsi="Arial" w:cs="Arial"/>
                <w:kern w:val="0"/>
                <w:sz w:val="20"/>
                <w:szCs w:val="20"/>
              </w:rPr>
              <w:t>Unclassified.</w:t>
            </w:r>
          </w:p>
        </w:tc>
        <w:tc>
          <w:tcPr>
            <w:tcW w:w="3778" w:type="dxa"/>
            <w:gridSpan w:val="3"/>
          </w:tcPr>
          <w:p w14:paraId="65EA6B14" w14:textId="77777777" w:rsidR="00075928" w:rsidRDefault="009932F3">
            <w:pPr>
              <w:ind w:left="1080" w:hanging="1080"/>
              <w:rPr>
                <w:rFonts w:ascii="Arial" w:hAnsi="Arial" w:cs="Arial"/>
                <w:kern w:val="0"/>
                <w:sz w:val="20"/>
                <w:szCs w:val="20"/>
              </w:rPr>
            </w:pPr>
            <w:r>
              <w:rPr>
                <w:rFonts w:ascii="Arial" w:hAnsi="Arial" w:cs="Arial"/>
                <w:kern w:val="0"/>
                <w:sz w:val="20"/>
                <w:szCs w:val="20"/>
              </w:rPr>
              <w:t>20. Security Classification (of this page)</w:t>
            </w:r>
          </w:p>
          <w:p w14:paraId="65EA6B15" w14:textId="77777777" w:rsidR="00075928" w:rsidRDefault="00075928">
            <w:pPr>
              <w:ind w:left="1080" w:hanging="1080"/>
              <w:rPr>
                <w:rFonts w:ascii="Arial" w:hAnsi="Arial" w:cs="Arial"/>
                <w:kern w:val="0"/>
                <w:sz w:val="20"/>
                <w:szCs w:val="20"/>
              </w:rPr>
            </w:pPr>
          </w:p>
          <w:p w14:paraId="65EA6B16" w14:textId="77777777" w:rsidR="00075928" w:rsidRDefault="009932F3">
            <w:pPr>
              <w:ind w:left="1080" w:hanging="1080"/>
              <w:rPr>
                <w:rFonts w:ascii="Arial" w:hAnsi="Arial" w:cs="Arial"/>
                <w:kern w:val="0"/>
                <w:sz w:val="20"/>
                <w:szCs w:val="20"/>
              </w:rPr>
            </w:pPr>
            <w:r>
              <w:rPr>
                <w:rFonts w:ascii="Arial" w:hAnsi="Arial" w:cs="Arial"/>
                <w:kern w:val="0"/>
                <w:sz w:val="20"/>
                <w:szCs w:val="20"/>
              </w:rPr>
              <w:t>Unclassified.</w:t>
            </w:r>
          </w:p>
        </w:tc>
        <w:tc>
          <w:tcPr>
            <w:tcW w:w="1967" w:type="dxa"/>
          </w:tcPr>
          <w:p w14:paraId="65EA6B17" w14:textId="77777777" w:rsidR="00075928" w:rsidRDefault="009932F3">
            <w:pPr>
              <w:ind w:left="1080" w:hanging="1080"/>
              <w:rPr>
                <w:rFonts w:ascii="Arial" w:hAnsi="Arial" w:cs="Arial"/>
                <w:kern w:val="0"/>
                <w:sz w:val="20"/>
                <w:szCs w:val="20"/>
              </w:rPr>
            </w:pPr>
            <w:r>
              <w:rPr>
                <w:rFonts w:ascii="Arial" w:hAnsi="Arial" w:cs="Arial"/>
                <w:kern w:val="0"/>
                <w:sz w:val="20"/>
                <w:szCs w:val="20"/>
              </w:rPr>
              <w:t>21. No. of Pages</w:t>
            </w:r>
          </w:p>
          <w:p w14:paraId="65EA6B18" w14:textId="77777777" w:rsidR="00075928" w:rsidRDefault="00075928">
            <w:pPr>
              <w:ind w:left="1080" w:hanging="1080"/>
              <w:rPr>
                <w:rFonts w:ascii="Arial" w:hAnsi="Arial" w:cs="Arial"/>
                <w:kern w:val="0"/>
                <w:sz w:val="20"/>
                <w:szCs w:val="20"/>
              </w:rPr>
            </w:pPr>
          </w:p>
          <w:p w14:paraId="65EA6B19" w14:textId="0C30B082" w:rsidR="00075928" w:rsidRDefault="00606C41">
            <w:pPr>
              <w:ind w:left="1080" w:hanging="1080"/>
              <w:rPr>
                <w:rFonts w:ascii="Arial" w:hAnsi="Arial" w:cs="Arial"/>
                <w:kern w:val="0"/>
                <w:sz w:val="20"/>
                <w:szCs w:val="20"/>
              </w:rPr>
            </w:pPr>
            <w:r>
              <w:rPr>
                <w:rFonts w:ascii="Arial" w:hAnsi="Arial" w:cs="Arial"/>
                <w:color w:val="000000" w:themeColor="text1"/>
                <w:kern w:val="0"/>
                <w:sz w:val="20"/>
                <w:szCs w:val="20"/>
              </w:rPr>
              <w:t>29</w:t>
            </w:r>
          </w:p>
        </w:tc>
        <w:tc>
          <w:tcPr>
            <w:tcW w:w="1749" w:type="dxa"/>
          </w:tcPr>
          <w:p w14:paraId="65EA6B1A" w14:textId="77777777" w:rsidR="00075928" w:rsidRDefault="009932F3">
            <w:pPr>
              <w:ind w:left="1080" w:hanging="1080"/>
              <w:rPr>
                <w:rFonts w:ascii="Arial" w:hAnsi="Arial" w:cs="Arial"/>
                <w:kern w:val="0"/>
                <w:sz w:val="20"/>
                <w:szCs w:val="20"/>
              </w:rPr>
            </w:pPr>
            <w:r>
              <w:rPr>
                <w:rFonts w:ascii="Arial" w:hAnsi="Arial" w:cs="Arial"/>
                <w:kern w:val="0"/>
                <w:sz w:val="20"/>
                <w:szCs w:val="20"/>
              </w:rPr>
              <w:t>22. Price</w:t>
            </w:r>
          </w:p>
          <w:p w14:paraId="65EA6B1B" w14:textId="77777777" w:rsidR="00075928" w:rsidRDefault="00075928">
            <w:pPr>
              <w:ind w:left="1080" w:hanging="1080"/>
              <w:rPr>
                <w:rFonts w:ascii="Arial" w:hAnsi="Arial" w:cs="Arial"/>
                <w:kern w:val="0"/>
                <w:sz w:val="20"/>
                <w:szCs w:val="20"/>
              </w:rPr>
            </w:pPr>
          </w:p>
          <w:p w14:paraId="65EA6B1C" w14:textId="77777777" w:rsidR="00075928" w:rsidRDefault="009932F3">
            <w:pPr>
              <w:ind w:left="1080" w:hanging="1080"/>
              <w:rPr>
                <w:rFonts w:ascii="Arial" w:hAnsi="Arial" w:cs="Arial"/>
                <w:kern w:val="0"/>
                <w:sz w:val="20"/>
                <w:szCs w:val="20"/>
              </w:rPr>
            </w:pPr>
            <w:r>
              <w:rPr>
                <w:rFonts w:ascii="Arial" w:hAnsi="Arial" w:cs="Arial"/>
                <w:kern w:val="0"/>
                <w:sz w:val="20"/>
                <w:szCs w:val="20"/>
              </w:rPr>
              <w:t>N/A</w:t>
            </w:r>
          </w:p>
        </w:tc>
      </w:tr>
    </w:tbl>
    <w:p w14:paraId="65EA6B1E" w14:textId="77777777" w:rsidR="00075928" w:rsidRDefault="009932F3">
      <w:pPr>
        <w:rPr>
          <w:rFonts w:ascii="Arial" w:hAnsi="Arial" w:cs="Arial"/>
          <w:kern w:val="0"/>
          <w:sz w:val="22"/>
          <w:szCs w:val="22"/>
        </w:rPr>
      </w:pPr>
      <w:r>
        <w:rPr>
          <w:rFonts w:ascii="Times New Roman" w:hAnsi="Times New Roman" w:cs="Times New Roman"/>
          <w:kern w:val="0"/>
          <w:sz w:val="28"/>
          <w:szCs w:val="28"/>
        </w:rPr>
        <w:br w:type="page"/>
      </w:r>
      <w:r>
        <w:rPr>
          <w:rFonts w:ascii="Arial" w:hAnsi="Arial" w:cs="Arial"/>
          <w:kern w:val="0"/>
          <w:sz w:val="22"/>
          <w:szCs w:val="22"/>
        </w:rPr>
        <w:lastRenderedPageBreak/>
        <w:t>Disclaimer:</w:t>
      </w:r>
    </w:p>
    <w:p w14:paraId="65EA6B1F"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The contents of this report reflect the views of the authors, who are responsible for the facts and</w:t>
      </w:r>
    </w:p>
    <w:p w14:paraId="65EA6B20" w14:textId="77777777" w:rsidR="00075928" w:rsidRDefault="009932F3">
      <w:pPr>
        <w:autoSpaceDE w:val="0"/>
        <w:autoSpaceDN w:val="0"/>
        <w:adjustRightInd w:val="0"/>
        <w:rPr>
          <w:rFonts w:ascii="Arial" w:hAnsi="Arial" w:cs="Arial"/>
          <w:kern w:val="0"/>
          <w:sz w:val="20"/>
          <w:szCs w:val="20"/>
        </w:rPr>
      </w:pPr>
      <w:r>
        <w:rPr>
          <w:rFonts w:ascii="Arial" w:hAnsi="Arial" w:cs="Arial"/>
          <w:kern w:val="0"/>
          <w:sz w:val="20"/>
          <w:szCs w:val="20"/>
        </w:rPr>
        <w:t>the accuracy of the information presented herein. This document is disseminated in the interest of information exchange. The report is funded, partially or entirely, under 69A3552348333 from the U.S. Department of Transportation’s University Transportation Centers Program. The U.S.</w:t>
      </w:r>
    </w:p>
    <w:p w14:paraId="65EA6B21" w14:textId="77777777" w:rsidR="00075928" w:rsidRDefault="009932F3">
      <w:r>
        <w:rPr>
          <w:rFonts w:ascii="Arial" w:hAnsi="Arial" w:cs="Arial"/>
          <w:kern w:val="0"/>
          <w:sz w:val="20"/>
          <w:szCs w:val="20"/>
        </w:rPr>
        <w:t>Government assumes no liability for the contents or use thereof.</w:t>
      </w:r>
      <w:r>
        <w:br w:type="page"/>
      </w:r>
    </w:p>
    <w:p w14:paraId="65EA6B22" w14:textId="77777777" w:rsidR="00075928" w:rsidRDefault="00075928"/>
    <w:p w14:paraId="65EA6B23" w14:textId="77777777" w:rsidR="00075928" w:rsidRDefault="009932F3">
      <w:pPr>
        <w:jc w:val="center"/>
      </w:pPr>
      <w:r>
        <w:rPr>
          <w:noProof/>
        </w:rPr>
        <w:drawing>
          <wp:inline distT="0" distB="0" distL="0" distR="0" wp14:anchorId="65EA6C9D" wp14:editId="65EA6C9E">
            <wp:extent cx="4746625" cy="1265555"/>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a:picLocks noChangeAspect="1"/>
                    </pic:cNvPicPr>
                  </pic:nvPicPr>
                  <pic:blipFill>
                    <a:blip r:embed="rId8"/>
                    <a:stretch>
                      <a:fillRect/>
                    </a:stretch>
                  </pic:blipFill>
                  <pic:spPr>
                    <a:xfrm>
                      <a:off x="0" y="0"/>
                      <a:ext cx="4806431" cy="1281715"/>
                    </a:xfrm>
                    <a:prstGeom prst="rect">
                      <a:avLst/>
                    </a:prstGeom>
                  </pic:spPr>
                </pic:pic>
              </a:graphicData>
            </a:graphic>
          </wp:inline>
        </w:drawing>
      </w:r>
    </w:p>
    <w:p w14:paraId="65EA6B24" w14:textId="77777777" w:rsidR="00075928" w:rsidRDefault="00075928"/>
    <w:p w14:paraId="65EA6B25" w14:textId="77777777" w:rsidR="00075928" w:rsidRDefault="00075928"/>
    <w:p w14:paraId="65EA6B26" w14:textId="77777777" w:rsidR="00075928" w:rsidRDefault="009932F3">
      <w:pPr>
        <w:jc w:val="center"/>
        <w:rPr>
          <w:rFonts w:ascii="Arial" w:hAnsi="Arial" w:cs="Arial"/>
          <w:b/>
          <w:bCs/>
          <w:sz w:val="32"/>
          <w:szCs w:val="32"/>
        </w:rPr>
      </w:pPr>
      <w:r>
        <w:rPr>
          <w:rFonts w:ascii="Arial" w:hAnsi="Arial" w:cs="Arial"/>
          <w:b/>
          <w:bCs/>
          <w:sz w:val="32"/>
          <w:szCs w:val="32"/>
        </w:rPr>
        <w:t xml:space="preserve">Transportation Infrastructure Precast Innovation Center </w:t>
      </w:r>
    </w:p>
    <w:p w14:paraId="65EA6B27" w14:textId="77777777" w:rsidR="00075928" w:rsidRDefault="009932F3">
      <w:pPr>
        <w:jc w:val="center"/>
        <w:rPr>
          <w:rFonts w:ascii="Arial" w:hAnsi="Arial" w:cs="Arial"/>
          <w:b/>
          <w:bCs/>
          <w:sz w:val="32"/>
          <w:szCs w:val="32"/>
        </w:rPr>
      </w:pPr>
      <w:r>
        <w:rPr>
          <w:rFonts w:ascii="Arial" w:hAnsi="Arial" w:cs="Arial"/>
          <w:b/>
          <w:bCs/>
          <w:sz w:val="32"/>
          <w:szCs w:val="32"/>
        </w:rPr>
        <w:t>(TRANS-IPIC)</w:t>
      </w:r>
    </w:p>
    <w:p w14:paraId="65EA6B28" w14:textId="77777777" w:rsidR="00075928" w:rsidRDefault="00075928">
      <w:pPr>
        <w:jc w:val="center"/>
        <w:rPr>
          <w:rFonts w:ascii="Arial" w:hAnsi="Arial" w:cs="Arial"/>
          <w:b/>
          <w:bCs/>
          <w:sz w:val="28"/>
          <w:szCs w:val="28"/>
        </w:rPr>
      </w:pPr>
    </w:p>
    <w:p w14:paraId="65EA6B29" w14:textId="77777777" w:rsidR="00075928" w:rsidRDefault="009932F3">
      <w:pPr>
        <w:jc w:val="center"/>
        <w:rPr>
          <w:rFonts w:ascii="Arial" w:hAnsi="Arial" w:cs="Arial"/>
        </w:rPr>
      </w:pPr>
      <w:r>
        <w:rPr>
          <w:rFonts w:ascii="Arial" w:hAnsi="Arial" w:cs="Arial"/>
          <w:b/>
          <w:bCs/>
          <w:sz w:val="28"/>
          <w:szCs w:val="28"/>
        </w:rPr>
        <w:t>University Transportation Center (UTC)</w:t>
      </w:r>
    </w:p>
    <w:p w14:paraId="65EA6B2A" w14:textId="77777777" w:rsidR="00075928" w:rsidRDefault="00075928">
      <w:pPr>
        <w:jc w:val="center"/>
        <w:rPr>
          <w:rFonts w:ascii="Arial" w:hAnsi="Arial" w:cs="Arial"/>
        </w:rPr>
      </w:pPr>
    </w:p>
    <w:p w14:paraId="65EA6B2B" w14:textId="77777777" w:rsidR="00075928" w:rsidRDefault="00075928">
      <w:pPr>
        <w:jc w:val="center"/>
        <w:rPr>
          <w:rFonts w:ascii="Arial" w:hAnsi="Arial" w:cs="Arial"/>
        </w:rPr>
      </w:pPr>
    </w:p>
    <w:p w14:paraId="65EA6B2C" w14:textId="77777777" w:rsidR="00075928" w:rsidRDefault="009932F3">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Exploring Fungal-Induced Carbonate Precipitation (FICP) for Healing Concrete Cracks</w:t>
      </w:r>
    </w:p>
    <w:p w14:paraId="65EA6B2D" w14:textId="67657B9F" w:rsidR="00075928" w:rsidRDefault="00BF6F1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LS-23-RP-03</w:t>
      </w:r>
    </w:p>
    <w:p w14:paraId="65EA6B2E" w14:textId="77777777" w:rsidR="00075928" w:rsidRDefault="00075928">
      <w:pPr>
        <w:jc w:val="center"/>
        <w:rPr>
          <w:rFonts w:ascii="Arial" w:hAnsi="Arial" w:cs="Arial"/>
        </w:rPr>
      </w:pPr>
    </w:p>
    <w:p w14:paraId="65EA6B2F" w14:textId="77777777" w:rsidR="00075928" w:rsidRDefault="00075928">
      <w:pPr>
        <w:jc w:val="center"/>
        <w:rPr>
          <w:rFonts w:ascii="Arial" w:hAnsi="Arial" w:cs="Arial"/>
        </w:rPr>
      </w:pPr>
    </w:p>
    <w:p w14:paraId="65EA6B30" w14:textId="77777777" w:rsidR="00075928" w:rsidRDefault="009932F3">
      <w:pPr>
        <w:jc w:val="center"/>
        <w:rPr>
          <w:rFonts w:ascii="Arial" w:hAnsi="Arial" w:cs="Arial"/>
          <w:sz w:val="22"/>
          <w:szCs w:val="22"/>
        </w:rPr>
      </w:pPr>
      <w:r>
        <w:rPr>
          <w:rFonts w:ascii="Arial" w:hAnsi="Arial" w:cs="Arial"/>
          <w:sz w:val="22"/>
          <w:szCs w:val="22"/>
        </w:rPr>
        <w:t>FINAL REPORT</w:t>
      </w:r>
    </w:p>
    <w:p w14:paraId="65EA6B31" w14:textId="77777777" w:rsidR="00075928" w:rsidRDefault="00075928">
      <w:pPr>
        <w:jc w:val="center"/>
        <w:rPr>
          <w:rFonts w:ascii="Arial" w:hAnsi="Arial" w:cs="Arial"/>
        </w:rPr>
      </w:pPr>
    </w:p>
    <w:p w14:paraId="65EA6B32" w14:textId="77777777" w:rsidR="00075928" w:rsidRDefault="00075928">
      <w:pPr>
        <w:rPr>
          <w:rFonts w:ascii="Arial" w:hAnsi="Arial" w:cs="Arial"/>
        </w:rPr>
      </w:pPr>
    </w:p>
    <w:p w14:paraId="65EA6B33" w14:textId="77777777" w:rsidR="00075928" w:rsidRDefault="00075928">
      <w:pPr>
        <w:rPr>
          <w:rFonts w:ascii="Arial" w:hAnsi="Arial" w:cs="Arial"/>
        </w:rPr>
      </w:pPr>
    </w:p>
    <w:p w14:paraId="65EA6B34" w14:textId="77777777" w:rsidR="00075928" w:rsidRDefault="009932F3">
      <w:pPr>
        <w:rPr>
          <w:rFonts w:ascii="Arial" w:hAnsi="Arial" w:cs="Arial"/>
          <w:b/>
          <w:bCs/>
          <w:sz w:val="22"/>
          <w:szCs w:val="22"/>
          <w:u w:val="single"/>
        </w:rPr>
      </w:pPr>
      <w:r>
        <w:rPr>
          <w:rFonts w:ascii="Arial" w:hAnsi="Arial" w:cs="Arial"/>
          <w:b/>
          <w:bCs/>
          <w:sz w:val="22"/>
          <w:szCs w:val="22"/>
          <w:u w:val="single"/>
        </w:rPr>
        <w:t>Submitted by:</w:t>
      </w:r>
    </w:p>
    <w:p w14:paraId="65EA6B35" w14:textId="44F744B5"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Hai Lin</w:t>
      </w:r>
      <w:r w:rsidR="00A40ADA">
        <w:rPr>
          <w:rFonts w:ascii="Arial" w:eastAsia="Times New Roman" w:hAnsi="Arial" w:cs="Arial"/>
          <w:kern w:val="0"/>
          <w:sz w:val="20"/>
          <w:szCs w:val="20"/>
          <w14:ligatures w14:val="none"/>
        </w:rPr>
        <w:t xml:space="preserve"> (Principal Investigator)</w:t>
      </w:r>
      <w:r>
        <w:rPr>
          <w:rFonts w:ascii="Arial" w:eastAsia="Times New Roman" w:hAnsi="Arial" w:cs="Arial"/>
          <w:kern w:val="0"/>
          <w:sz w:val="20"/>
          <w:szCs w:val="20"/>
          <w14:ligatures w14:val="none"/>
        </w:rPr>
        <w:t>, Louisiana State University, hailin1@lsu.edu</w:t>
      </w:r>
    </w:p>
    <w:p w14:paraId="65EA6B36"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Department of Civil and Environmental Engineering</w:t>
      </w:r>
    </w:p>
    <w:p w14:paraId="65EA6B37"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Louisiana State University</w:t>
      </w:r>
    </w:p>
    <w:p w14:paraId="22735200" w14:textId="77777777" w:rsidR="00A40ADA" w:rsidRDefault="00A40ADA">
      <w:pPr>
        <w:rPr>
          <w:rFonts w:ascii="Arial" w:eastAsia="Times New Roman" w:hAnsi="Arial" w:cs="Arial"/>
          <w:kern w:val="0"/>
          <w:sz w:val="20"/>
          <w:szCs w:val="20"/>
          <w14:ligatures w14:val="none"/>
        </w:rPr>
      </w:pPr>
    </w:p>
    <w:p w14:paraId="20ED52E9" w14:textId="64B4323A" w:rsidR="00A40ADA" w:rsidRDefault="00A40ADA" w:rsidP="00A40ADA">
      <w:pPr>
        <w:rPr>
          <w:rFonts w:ascii="Arial" w:eastAsia="Times New Roman" w:hAnsi="Arial" w:cs="Arial"/>
          <w:kern w:val="0"/>
          <w:sz w:val="20"/>
          <w:szCs w:val="20"/>
          <w14:ligatures w14:val="none"/>
        </w:rPr>
      </w:pPr>
      <w:r w:rsidRPr="00A40ADA">
        <w:rPr>
          <w:rFonts w:ascii="Arial" w:eastAsia="Times New Roman" w:hAnsi="Arial" w:cs="Arial"/>
          <w:kern w:val="0"/>
          <w:sz w:val="20"/>
          <w:szCs w:val="20"/>
          <w14:ligatures w14:val="none"/>
        </w:rPr>
        <w:t>Nuo Bao</w:t>
      </w:r>
      <w:r>
        <w:rPr>
          <w:rFonts w:ascii="Arial" w:eastAsia="Times New Roman" w:hAnsi="Arial" w:cs="Arial"/>
          <w:kern w:val="0"/>
          <w:sz w:val="20"/>
          <w:szCs w:val="20"/>
          <w14:ligatures w14:val="none"/>
        </w:rPr>
        <w:t xml:space="preserve"> (Graduate student)</w:t>
      </w:r>
      <w:r w:rsidRPr="00A40ADA">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Louisiana State University, </w:t>
      </w:r>
      <w:r w:rsidR="001D1990">
        <w:rPr>
          <w:rFonts w:ascii="Arial" w:eastAsia="Times New Roman" w:hAnsi="Arial" w:cs="Arial"/>
          <w:kern w:val="0"/>
          <w:sz w:val="20"/>
          <w:szCs w:val="20"/>
          <w14:ligatures w14:val="none"/>
        </w:rPr>
        <w:t>nbao1</w:t>
      </w:r>
      <w:r>
        <w:rPr>
          <w:rFonts w:ascii="Arial" w:eastAsia="Times New Roman" w:hAnsi="Arial" w:cs="Arial"/>
          <w:kern w:val="0"/>
          <w:sz w:val="20"/>
          <w:szCs w:val="20"/>
          <w14:ligatures w14:val="none"/>
        </w:rPr>
        <w:t>@lsu.edu</w:t>
      </w:r>
    </w:p>
    <w:p w14:paraId="4B9287BD" w14:textId="77777777" w:rsidR="00A40ADA" w:rsidRDefault="00A40ADA" w:rsidP="00A40AD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Department of Civil and Environmental Engineering</w:t>
      </w:r>
    </w:p>
    <w:p w14:paraId="65EA6B38" w14:textId="2171920F" w:rsidR="00075928" w:rsidRDefault="00A40ADA">
      <w:pPr>
        <w:rPr>
          <w:rFonts w:ascii="Arial" w:eastAsia="Times New Roman" w:hAnsi="Arial" w:cs="Arial"/>
          <w:i/>
          <w:iCs/>
          <w:kern w:val="0"/>
          <w:sz w:val="22"/>
          <w:szCs w:val="22"/>
          <w:highlight w:val="lightGray"/>
          <w14:ligatures w14:val="none"/>
        </w:rPr>
      </w:pPr>
      <w:r>
        <w:rPr>
          <w:rFonts w:ascii="Arial" w:eastAsia="Times New Roman" w:hAnsi="Arial" w:cs="Arial"/>
          <w:kern w:val="0"/>
          <w:sz w:val="20"/>
          <w:szCs w:val="20"/>
          <w14:ligatures w14:val="none"/>
        </w:rPr>
        <w:t>Louisiana State University</w:t>
      </w:r>
    </w:p>
    <w:p w14:paraId="65EA6B39" w14:textId="77777777" w:rsidR="00075928" w:rsidRDefault="00075928">
      <w:pPr>
        <w:rPr>
          <w:rFonts w:ascii="Arial" w:hAnsi="Arial" w:cs="Arial"/>
        </w:rPr>
      </w:pPr>
    </w:p>
    <w:p w14:paraId="65EA6B3A" w14:textId="77777777" w:rsidR="00075928" w:rsidRDefault="009932F3">
      <w:pPr>
        <w:rPr>
          <w:rFonts w:ascii="Arial" w:hAnsi="Arial" w:cs="Arial"/>
          <w:b/>
          <w:bCs/>
          <w:sz w:val="22"/>
          <w:szCs w:val="22"/>
          <w:u w:val="single"/>
        </w:rPr>
      </w:pPr>
      <w:r>
        <w:rPr>
          <w:rFonts w:ascii="Arial" w:hAnsi="Arial" w:cs="Arial"/>
          <w:b/>
          <w:bCs/>
          <w:sz w:val="22"/>
          <w:szCs w:val="22"/>
          <w:u w:val="single"/>
        </w:rPr>
        <w:t>Collaborators / Partners:</w:t>
      </w:r>
    </w:p>
    <w:p w14:paraId="65EA6B3B"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Yen-Fang Su, Louisiana State University, ysu@lsu.edu</w:t>
      </w:r>
    </w:p>
    <w:p w14:paraId="65EA6B3C"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Department of Civil and Environmental Engineering</w:t>
      </w:r>
    </w:p>
    <w:p w14:paraId="65EA6B3D" w14:textId="77777777" w:rsidR="00075928" w:rsidRDefault="009932F3">
      <w:pPr>
        <w:rPr>
          <w:rFonts w:ascii="Arial" w:hAnsi="Arial" w:cs="Arial"/>
        </w:rPr>
      </w:pPr>
      <w:r>
        <w:rPr>
          <w:rFonts w:ascii="Arial" w:eastAsia="Times New Roman" w:hAnsi="Arial" w:cs="Arial"/>
          <w:kern w:val="0"/>
          <w:sz w:val="20"/>
          <w:szCs w:val="20"/>
          <w14:ligatures w14:val="none"/>
        </w:rPr>
        <w:t>Louisiana State University</w:t>
      </w:r>
    </w:p>
    <w:p w14:paraId="65EA6B3E" w14:textId="77777777" w:rsidR="00075928" w:rsidRDefault="00075928">
      <w:pPr>
        <w:rPr>
          <w:rFonts w:ascii="Arial" w:hAnsi="Arial" w:cs="Arial"/>
        </w:rPr>
      </w:pPr>
    </w:p>
    <w:p w14:paraId="65EA6B3F" w14:textId="77777777" w:rsidR="00075928" w:rsidRDefault="009932F3">
      <w:pPr>
        <w:rPr>
          <w:rFonts w:ascii="Arial" w:hAnsi="Arial" w:cs="Arial"/>
          <w:b/>
          <w:bCs/>
          <w:u w:val="single"/>
        </w:rPr>
      </w:pPr>
      <w:r>
        <w:rPr>
          <w:rFonts w:ascii="Arial" w:hAnsi="Arial" w:cs="Arial"/>
          <w:b/>
          <w:bCs/>
          <w:u w:val="single"/>
        </w:rPr>
        <w:t>Submitted to:</w:t>
      </w:r>
    </w:p>
    <w:p w14:paraId="65EA6B40" w14:textId="77777777" w:rsidR="00075928" w:rsidRDefault="009932F3">
      <w:pPr>
        <w:rPr>
          <w:rFonts w:ascii="Arial" w:hAnsi="Arial" w:cs="Arial"/>
          <w:sz w:val="20"/>
          <w:szCs w:val="20"/>
        </w:rPr>
      </w:pPr>
      <w:r>
        <w:rPr>
          <w:rFonts w:ascii="Arial" w:hAnsi="Arial" w:cs="Arial"/>
          <w:sz w:val="20"/>
          <w:szCs w:val="20"/>
        </w:rPr>
        <w:t>TRANS-IPIC UTC</w:t>
      </w:r>
    </w:p>
    <w:p w14:paraId="65EA6B41" w14:textId="77777777" w:rsidR="00075928" w:rsidRDefault="009932F3">
      <w:pPr>
        <w:rPr>
          <w:rFonts w:ascii="Arial" w:hAnsi="Arial" w:cs="Arial"/>
          <w:sz w:val="20"/>
          <w:szCs w:val="20"/>
        </w:rPr>
      </w:pPr>
      <w:r>
        <w:rPr>
          <w:rFonts w:ascii="Arial" w:hAnsi="Arial" w:cs="Arial"/>
          <w:sz w:val="20"/>
          <w:szCs w:val="20"/>
        </w:rPr>
        <w:t>University of Illinois Urbana-Champaign</w:t>
      </w:r>
    </w:p>
    <w:p w14:paraId="65EA6B42" w14:textId="77777777" w:rsidR="00075928" w:rsidRDefault="009932F3">
      <w:pPr>
        <w:rPr>
          <w:rFonts w:ascii="Arial" w:hAnsi="Arial" w:cs="Arial"/>
          <w:sz w:val="20"/>
          <w:szCs w:val="20"/>
        </w:rPr>
      </w:pPr>
      <w:r>
        <w:rPr>
          <w:rFonts w:ascii="Arial" w:hAnsi="Arial" w:cs="Arial"/>
          <w:sz w:val="20"/>
          <w:szCs w:val="20"/>
        </w:rPr>
        <w:t>Urbana, IL</w:t>
      </w:r>
    </w:p>
    <w:p w14:paraId="65EA6B43" w14:textId="77777777" w:rsidR="00075928" w:rsidRDefault="009932F3">
      <w:pPr>
        <w:rPr>
          <w:rFonts w:ascii="Arial" w:hAnsi="Arial" w:cs="Arial"/>
        </w:rPr>
      </w:pPr>
      <w:r>
        <w:rPr>
          <w:rFonts w:ascii="Arial" w:hAnsi="Arial" w:cs="Arial"/>
        </w:rPr>
        <w:br w:type="page"/>
      </w:r>
    </w:p>
    <w:p w14:paraId="65EA6B44" w14:textId="77777777" w:rsidR="00075928" w:rsidRDefault="009932F3">
      <w:pPr>
        <w:rPr>
          <w:rFonts w:ascii="Arial" w:hAnsi="Arial" w:cs="Arial"/>
          <w:b/>
          <w:bCs/>
          <w:sz w:val="22"/>
          <w:szCs w:val="22"/>
        </w:rPr>
      </w:pPr>
      <w:r>
        <w:rPr>
          <w:rFonts w:ascii="Arial" w:hAnsi="Arial" w:cs="Arial"/>
          <w:b/>
          <w:bCs/>
          <w:sz w:val="22"/>
          <w:szCs w:val="22"/>
        </w:rPr>
        <w:lastRenderedPageBreak/>
        <w:t>Executive Summary:</w:t>
      </w:r>
    </w:p>
    <w:p w14:paraId="65EA6B45" w14:textId="77777777" w:rsidR="00075928" w:rsidRDefault="00075928">
      <w:pPr>
        <w:rPr>
          <w:rFonts w:ascii="Arial" w:hAnsi="Arial" w:cs="Arial"/>
          <w:sz w:val="20"/>
          <w:szCs w:val="20"/>
        </w:rPr>
      </w:pPr>
    </w:p>
    <w:p w14:paraId="5E628F85" w14:textId="29858651" w:rsidR="004179B7" w:rsidRDefault="4F19BA49" w:rsidP="00434EEE">
      <w:pPr>
        <w:snapToGrid w:val="0"/>
        <w:rPr>
          <w:rFonts w:ascii="Arial" w:eastAsia="Arial" w:hAnsi="Arial" w:cs="Arial"/>
          <w:sz w:val="20"/>
          <w:szCs w:val="20"/>
        </w:rPr>
      </w:pPr>
      <w:r w:rsidRPr="4F19BA49">
        <w:rPr>
          <w:rFonts w:ascii="Arial" w:eastAsia="Arial" w:hAnsi="Arial" w:cs="Arial"/>
          <w:sz w:val="20"/>
          <w:szCs w:val="20"/>
        </w:rPr>
        <w:t xml:space="preserve">Concrete structures are susceptible to cracking during early-stage curing or long-term aging, which can compromise load-bearing capacity and reduce service life. This study investigates fungal-induced </w:t>
      </w:r>
      <w:r w:rsidR="00A16526">
        <w:rPr>
          <w:rFonts w:ascii="Arial" w:eastAsia="Arial" w:hAnsi="Arial" w:cs="Arial"/>
          <w:sz w:val="20"/>
          <w:szCs w:val="20"/>
        </w:rPr>
        <w:t>mineral</w:t>
      </w:r>
      <w:r w:rsidR="00A16526" w:rsidRPr="4F19BA49">
        <w:rPr>
          <w:rFonts w:ascii="Arial" w:eastAsia="Arial" w:hAnsi="Arial" w:cs="Arial"/>
          <w:sz w:val="20"/>
          <w:szCs w:val="20"/>
        </w:rPr>
        <w:t xml:space="preserve"> </w:t>
      </w:r>
      <w:r w:rsidRPr="4F19BA49">
        <w:rPr>
          <w:rFonts w:ascii="Arial" w:eastAsia="Arial" w:hAnsi="Arial" w:cs="Arial"/>
          <w:sz w:val="20"/>
          <w:szCs w:val="20"/>
        </w:rPr>
        <w:t>precipitation (FI</w:t>
      </w:r>
      <w:r w:rsidR="00A16526">
        <w:rPr>
          <w:rFonts w:ascii="Arial" w:eastAsia="Arial" w:hAnsi="Arial" w:cs="Arial"/>
          <w:sz w:val="20"/>
          <w:szCs w:val="20"/>
        </w:rPr>
        <w:t>M</w:t>
      </w:r>
      <w:r w:rsidRPr="4F19BA49">
        <w:rPr>
          <w:rFonts w:ascii="Arial" w:eastAsia="Arial" w:hAnsi="Arial" w:cs="Arial"/>
          <w:sz w:val="20"/>
          <w:szCs w:val="20"/>
        </w:rPr>
        <w:t>P) as a potential self-healing mechanism to enhance concrete durability.</w:t>
      </w:r>
      <w:r w:rsidR="00A16526">
        <w:rPr>
          <w:rFonts w:ascii="Arial" w:eastAsia="Arial" w:hAnsi="Arial" w:cs="Arial"/>
          <w:sz w:val="20"/>
          <w:szCs w:val="20"/>
        </w:rPr>
        <w:t xml:space="preserve"> </w:t>
      </w:r>
      <w:r w:rsidRPr="4F19BA49">
        <w:rPr>
          <w:rFonts w:ascii="Arial" w:eastAsia="Arial" w:hAnsi="Arial" w:cs="Arial"/>
          <w:sz w:val="20"/>
          <w:szCs w:val="20"/>
        </w:rPr>
        <w:t>FI</w:t>
      </w:r>
      <w:r w:rsidR="00A16526">
        <w:rPr>
          <w:rFonts w:ascii="Arial" w:eastAsia="Arial" w:hAnsi="Arial" w:cs="Arial"/>
          <w:sz w:val="20"/>
          <w:szCs w:val="20"/>
        </w:rPr>
        <w:t>M</w:t>
      </w:r>
      <w:r w:rsidRPr="4F19BA49">
        <w:rPr>
          <w:rFonts w:ascii="Arial" w:eastAsia="Arial" w:hAnsi="Arial" w:cs="Arial"/>
          <w:sz w:val="20"/>
          <w:szCs w:val="20"/>
        </w:rPr>
        <w:t xml:space="preserve">P is a natural biomineralization process in which fungi promote </w:t>
      </w:r>
      <w:r w:rsidR="00A16526">
        <w:rPr>
          <w:rFonts w:ascii="Arial" w:eastAsia="Arial" w:hAnsi="Arial" w:cs="Arial"/>
          <w:sz w:val="20"/>
          <w:szCs w:val="20"/>
        </w:rPr>
        <w:t>mineral</w:t>
      </w:r>
      <w:r w:rsidRPr="4F19BA49">
        <w:rPr>
          <w:rFonts w:ascii="Arial" w:eastAsia="Arial" w:hAnsi="Arial" w:cs="Arial"/>
          <w:sz w:val="20"/>
          <w:szCs w:val="20"/>
        </w:rPr>
        <w:t xml:space="preserve"> precipitation </w:t>
      </w:r>
      <w:r w:rsidR="00A16526">
        <w:rPr>
          <w:rFonts w:ascii="Arial" w:eastAsia="Arial" w:hAnsi="Arial" w:cs="Arial"/>
          <w:sz w:val="20"/>
          <w:szCs w:val="20"/>
        </w:rPr>
        <w:t>(e.g., CaCO</w:t>
      </w:r>
      <w:r w:rsidR="00A16526" w:rsidRPr="00434EEE">
        <w:rPr>
          <w:rFonts w:ascii="Arial" w:eastAsia="Arial" w:hAnsi="Arial" w:cs="Arial"/>
          <w:sz w:val="20"/>
          <w:szCs w:val="20"/>
          <w:vertAlign w:val="subscript"/>
        </w:rPr>
        <w:t>3</w:t>
      </w:r>
      <w:r w:rsidR="00A16526">
        <w:rPr>
          <w:rFonts w:ascii="Arial" w:eastAsia="Arial" w:hAnsi="Arial" w:cs="Arial"/>
          <w:sz w:val="20"/>
          <w:szCs w:val="20"/>
        </w:rPr>
        <w:t xml:space="preserve">) </w:t>
      </w:r>
      <w:r w:rsidRPr="4F19BA49">
        <w:rPr>
          <w:rFonts w:ascii="Arial" w:eastAsia="Arial" w:hAnsi="Arial" w:cs="Arial"/>
          <w:sz w:val="20"/>
          <w:szCs w:val="20"/>
        </w:rPr>
        <w:t>via metabolic activity. Fungi offer multiple advantages over bacteria</w:t>
      </w:r>
      <w:r w:rsidR="00A16526">
        <w:rPr>
          <w:rFonts w:ascii="Arial" w:eastAsia="Arial" w:hAnsi="Arial" w:cs="Arial"/>
          <w:sz w:val="20"/>
          <w:szCs w:val="20"/>
        </w:rPr>
        <w:t xml:space="preserve"> for healing </w:t>
      </w:r>
      <w:r w:rsidR="008D6013">
        <w:rPr>
          <w:rFonts w:ascii="Arial" w:eastAsia="Arial" w:hAnsi="Arial" w:cs="Arial"/>
          <w:sz w:val="20"/>
          <w:szCs w:val="20"/>
        </w:rPr>
        <w:t>cracks</w:t>
      </w:r>
      <w:r w:rsidRPr="4F19BA49">
        <w:rPr>
          <w:rFonts w:ascii="Arial" w:eastAsia="Arial" w:hAnsi="Arial" w:cs="Arial"/>
          <w:sz w:val="20"/>
          <w:szCs w:val="20"/>
        </w:rPr>
        <w:t>, including: (1) high surface-to-volume ratio, (2) fast mycelial growth across large areas, (3) robust performance in nutrient-poor and alkaline environments, and (4) cost-effective potential to create hydrophobic surfaces and reduce permeability.</w:t>
      </w:r>
      <w:r w:rsidR="008D6013">
        <w:rPr>
          <w:rFonts w:ascii="Arial" w:eastAsia="Arial" w:hAnsi="Arial" w:cs="Arial"/>
          <w:sz w:val="20"/>
          <w:szCs w:val="20"/>
        </w:rPr>
        <w:t xml:space="preserve"> </w:t>
      </w:r>
    </w:p>
    <w:p w14:paraId="65EA6B46" w14:textId="16223AF0" w:rsidR="00075928" w:rsidRDefault="00075928">
      <w:pPr>
        <w:rPr>
          <w:rFonts w:ascii="Arial" w:eastAsia="Times New Roman" w:hAnsi="Arial" w:cs="Arial"/>
          <w:color w:val="EE0000"/>
          <w:kern w:val="0"/>
          <w:sz w:val="20"/>
          <w:szCs w:val="20"/>
          <w14:ligatures w14:val="none"/>
        </w:rPr>
      </w:pPr>
    </w:p>
    <w:p w14:paraId="66680452" w14:textId="111D5444" w:rsidR="00013613" w:rsidRPr="00434EEE" w:rsidRDefault="00013613" w:rsidP="0001361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Three filamentous fungal strains—</w:t>
      </w:r>
      <w:r w:rsidR="004179B7" w:rsidRPr="004179B7">
        <w:rPr>
          <w:rFonts w:ascii="Arial" w:hAnsi="Arial" w:cs="Arial"/>
          <w:i/>
          <w:iCs/>
          <w:color w:val="000000" w:themeColor="text1"/>
          <w:sz w:val="20"/>
          <w:szCs w:val="20"/>
        </w:rPr>
        <w:t xml:space="preserve"> </w:t>
      </w:r>
      <w:r w:rsidR="004179B7">
        <w:rPr>
          <w:rFonts w:ascii="Arial" w:hAnsi="Arial" w:cs="Arial"/>
          <w:i/>
          <w:iCs/>
          <w:color w:val="000000" w:themeColor="text1"/>
          <w:sz w:val="20"/>
          <w:szCs w:val="20"/>
        </w:rPr>
        <w:t>Aspergillis niger</w:t>
      </w:r>
      <w:r w:rsidR="004179B7">
        <w:rPr>
          <w:rFonts w:ascii="Arial" w:hAnsi="Arial" w:cs="Arial"/>
          <w:color w:val="000000" w:themeColor="text1"/>
          <w:sz w:val="20"/>
          <w:szCs w:val="20"/>
        </w:rPr>
        <w:t xml:space="preserve"> (ATCC 9029), </w:t>
      </w:r>
      <w:r w:rsidR="004179B7">
        <w:rPr>
          <w:rFonts w:ascii="Arial" w:hAnsi="Arial" w:cs="Arial"/>
          <w:i/>
          <w:iCs/>
          <w:color w:val="000000" w:themeColor="text1"/>
          <w:sz w:val="20"/>
          <w:szCs w:val="20"/>
        </w:rPr>
        <w:t>Neurospora crassa</w:t>
      </w:r>
      <w:r w:rsidR="004179B7">
        <w:rPr>
          <w:rFonts w:ascii="Arial" w:hAnsi="Arial" w:cs="Arial"/>
          <w:color w:val="000000" w:themeColor="text1"/>
          <w:sz w:val="20"/>
          <w:szCs w:val="20"/>
        </w:rPr>
        <w:t xml:space="preserve"> (FGSC 2489), and </w:t>
      </w:r>
      <w:r w:rsidR="004179B7">
        <w:rPr>
          <w:rFonts w:ascii="Arial" w:hAnsi="Arial" w:cs="Arial"/>
          <w:i/>
          <w:iCs/>
          <w:color w:val="000000" w:themeColor="text1"/>
          <w:sz w:val="20"/>
          <w:szCs w:val="20"/>
        </w:rPr>
        <w:t>Trichoderma reesei</w:t>
      </w:r>
      <w:r w:rsidR="004179B7">
        <w:rPr>
          <w:rFonts w:ascii="Arial" w:hAnsi="Arial" w:cs="Arial"/>
          <w:color w:val="000000" w:themeColor="text1"/>
          <w:sz w:val="20"/>
          <w:szCs w:val="20"/>
        </w:rPr>
        <w:t xml:space="preserve"> (ATCC 13631), </w:t>
      </w:r>
      <w:r w:rsidRPr="00434EEE">
        <w:rPr>
          <w:rFonts w:ascii="Arial" w:eastAsia="Times New Roman" w:hAnsi="Arial" w:cs="Arial"/>
          <w:color w:val="000000" w:themeColor="text1"/>
          <w:kern w:val="0"/>
          <w:sz w:val="20"/>
          <w:szCs w:val="20"/>
          <w14:ligatures w14:val="none"/>
        </w:rPr>
        <w:t>—were systematically evaluated for their ability to induce mineral precipitation. The research involved: (1) quantifying fungal growth and mineralization in liquid culture; (2) testing fungal viability on cement mortar surfaces; and (3) assessing crack healing performance in bio-treated mortar specimens using visual observation, compressive strength tests, ultrasonic wave propagation (P- and S-wave velocities), and water absorption measurements.</w:t>
      </w:r>
    </w:p>
    <w:p w14:paraId="3F7A9E4C" w14:textId="77777777" w:rsidR="00013613" w:rsidRPr="00434EEE" w:rsidRDefault="00013613" w:rsidP="00013613">
      <w:pPr>
        <w:rPr>
          <w:rFonts w:ascii="Arial" w:eastAsia="Times New Roman" w:hAnsi="Arial" w:cs="Arial"/>
          <w:color w:val="000000" w:themeColor="text1"/>
          <w:kern w:val="0"/>
          <w:sz w:val="20"/>
          <w:szCs w:val="20"/>
          <w14:ligatures w14:val="none"/>
        </w:rPr>
      </w:pPr>
    </w:p>
    <w:p w14:paraId="5E17A1A6" w14:textId="3469606A" w:rsidR="00013613" w:rsidRPr="00434EEE" w:rsidRDefault="00013613" w:rsidP="0001361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 xml:space="preserve">Results demonstrate that </w:t>
      </w:r>
      <w:r w:rsidRPr="00434EEE">
        <w:rPr>
          <w:rFonts w:ascii="Arial" w:eastAsia="Times New Roman" w:hAnsi="Arial" w:cs="Arial"/>
          <w:i/>
          <w:iCs/>
          <w:color w:val="000000" w:themeColor="text1"/>
          <w:kern w:val="0"/>
          <w:sz w:val="20"/>
          <w:szCs w:val="20"/>
          <w14:ligatures w14:val="none"/>
        </w:rPr>
        <w:t>Neurospora crassa</w:t>
      </w:r>
      <w:r w:rsidRPr="00434EEE">
        <w:rPr>
          <w:rFonts w:ascii="Arial" w:eastAsia="Times New Roman" w:hAnsi="Arial" w:cs="Arial"/>
          <w:color w:val="000000" w:themeColor="text1"/>
          <w:kern w:val="0"/>
          <w:sz w:val="20"/>
          <w:szCs w:val="20"/>
          <w14:ligatures w14:val="none"/>
        </w:rPr>
        <w:t xml:space="preserve"> and </w:t>
      </w:r>
      <w:r w:rsidRPr="00434EEE">
        <w:rPr>
          <w:rFonts w:ascii="Arial" w:eastAsia="Times New Roman" w:hAnsi="Arial" w:cs="Arial"/>
          <w:i/>
          <w:iCs/>
          <w:color w:val="000000" w:themeColor="text1"/>
          <w:kern w:val="0"/>
          <w:sz w:val="20"/>
          <w:szCs w:val="20"/>
          <w14:ligatures w14:val="none"/>
        </w:rPr>
        <w:t>Aspergillus niger</w:t>
      </w:r>
      <w:r w:rsidRPr="00434EEE">
        <w:rPr>
          <w:rFonts w:ascii="Arial" w:eastAsia="Times New Roman" w:hAnsi="Arial" w:cs="Arial"/>
          <w:color w:val="000000" w:themeColor="text1"/>
          <w:kern w:val="0"/>
          <w:sz w:val="20"/>
          <w:szCs w:val="20"/>
          <w14:ligatures w14:val="none"/>
        </w:rPr>
        <w:t xml:space="preserve"> successfully precipitated calcium-based minerals—calcite and calcium oxalate, respectively—whereas </w:t>
      </w:r>
      <w:r w:rsidRPr="00434EEE">
        <w:rPr>
          <w:rFonts w:ascii="Arial" w:eastAsia="Times New Roman" w:hAnsi="Arial" w:cs="Arial"/>
          <w:i/>
          <w:iCs/>
          <w:color w:val="000000" w:themeColor="text1"/>
          <w:kern w:val="0"/>
          <w:sz w:val="20"/>
          <w:szCs w:val="20"/>
          <w14:ligatures w14:val="none"/>
        </w:rPr>
        <w:t>Trichoderma reesei</w:t>
      </w:r>
      <w:r w:rsidRPr="00434EEE">
        <w:rPr>
          <w:rFonts w:ascii="Arial" w:eastAsia="Times New Roman" w:hAnsi="Arial" w:cs="Arial"/>
          <w:color w:val="000000" w:themeColor="text1"/>
          <w:kern w:val="0"/>
          <w:sz w:val="20"/>
          <w:szCs w:val="20"/>
          <w14:ligatures w14:val="none"/>
        </w:rPr>
        <w:t xml:space="preserve"> was ineffective. Mortar samples treated with </w:t>
      </w:r>
      <w:r w:rsidRPr="00434EEE">
        <w:rPr>
          <w:rFonts w:ascii="Arial" w:eastAsia="Times New Roman" w:hAnsi="Arial" w:cs="Arial"/>
          <w:i/>
          <w:iCs/>
          <w:color w:val="000000" w:themeColor="text1"/>
          <w:kern w:val="0"/>
          <w:sz w:val="20"/>
          <w:szCs w:val="20"/>
          <w14:ligatures w14:val="none"/>
        </w:rPr>
        <w:t>N. crassa</w:t>
      </w:r>
      <w:r w:rsidRPr="00434EEE">
        <w:rPr>
          <w:rFonts w:ascii="Arial" w:eastAsia="Times New Roman" w:hAnsi="Arial" w:cs="Arial"/>
          <w:color w:val="000000" w:themeColor="text1"/>
          <w:kern w:val="0"/>
          <w:sz w:val="20"/>
          <w:szCs w:val="20"/>
          <w14:ligatures w14:val="none"/>
        </w:rPr>
        <w:t xml:space="preserve"> and </w:t>
      </w:r>
      <w:r w:rsidRPr="00434EEE">
        <w:rPr>
          <w:rFonts w:ascii="Arial" w:eastAsia="Times New Roman" w:hAnsi="Arial" w:cs="Arial"/>
          <w:i/>
          <w:iCs/>
          <w:color w:val="000000" w:themeColor="text1"/>
          <w:kern w:val="0"/>
          <w:sz w:val="20"/>
          <w:szCs w:val="20"/>
          <w14:ligatures w14:val="none"/>
        </w:rPr>
        <w:t>A. niger</w:t>
      </w:r>
      <w:r w:rsidRPr="00434EEE">
        <w:rPr>
          <w:rFonts w:ascii="Arial" w:eastAsia="Times New Roman" w:hAnsi="Arial" w:cs="Arial"/>
          <w:color w:val="000000" w:themeColor="text1"/>
          <w:kern w:val="0"/>
          <w:sz w:val="20"/>
          <w:szCs w:val="20"/>
          <w14:ligatures w14:val="none"/>
        </w:rPr>
        <w:t>, especially when combined with hydrophilic cellulose fibers, exhibited substantial improvements in compressive strength (up to 166%), ultrasonic wave velocities, and reductions in water absorption. These findings indicate enhanced matrix densification and effective microcrack closure.</w:t>
      </w:r>
    </w:p>
    <w:p w14:paraId="4BA1478D" w14:textId="77777777" w:rsidR="00013613" w:rsidRPr="00434EEE" w:rsidRDefault="00013613" w:rsidP="00013613">
      <w:pPr>
        <w:rPr>
          <w:rFonts w:ascii="Arial" w:eastAsia="Times New Roman" w:hAnsi="Arial" w:cs="Arial"/>
          <w:color w:val="000000" w:themeColor="text1"/>
          <w:kern w:val="0"/>
          <w:sz w:val="20"/>
          <w:szCs w:val="20"/>
          <w14:ligatures w14:val="none"/>
        </w:rPr>
      </w:pPr>
    </w:p>
    <w:p w14:paraId="0542DBCB" w14:textId="77777777" w:rsidR="00013613" w:rsidRPr="00434EEE" w:rsidRDefault="00013613" w:rsidP="0001361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The integration of fungal agents and biodegradable fibers appears to synergistically improve healing efficacy, suggesting a dual function as both self-healing agents and mechanical performance enhancers. This bio-based approach surpasses traditional bacterial MICP in terms of mineral uniformity, metabolic resilience, and cost-effectiveness. Moreover, it introduces a paradigm shift in using fungal cultures as performance-enhancing admixtures in concrete.</w:t>
      </w:r>
    </w:p>
    <w:p w14:paraId="70F6BFFA" w14:textId="77777777" w:rsidR="00013613" w:rsidRPr="00434EEE" w:rsidRDefault="00013613" w:rsidP="00013613">
      <w:pPr>
        <w:rPr>
          <w:rFonts w:ascii="Arial" w:eastAsia="Times New Roman" w:hAnsi="Arial" w:cs="Arial"/>
          <w:color w:val="000000" w:themeColor="text1"/>
          <w:kern w:val="0"/>
          <w:sz w:val="20"/>
          <w:szCs w:val="20"/>
          <w14:ligatures w14:val="none"/>
        </w:rPr>
      </w:pPr>
    </w:p>
    <w:p w14:paraId="16184C13" w14:textId="452FD3BB" w:rsidR="00013613" w:rsidRPr="00434EEE" w:rsidRDefault="00013613" w:rsidP="0001361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This study contributes to the mission of TRANS-IPIC by proposing an ecologically sustainable and technically promising alternative for crack remediation in precast concrete components. Future research should expand the fungal strain library, explore long-term field performance, and optimize conditions for fungal viability and mineralization in real-world applications.</w:t>
      </w:r>
    </w:p>
    <w:p w14:paraId="65EA6B47" w14:textId="77777777" w:rsidR="00075928" w:rsidRPr="00434EEE" w:rsidRDefault="009932F3">
      <w:pPr>
        <w:rPr>
          <w:rFonts w:ascii="Arial" w:hAnsi="Arial" w:cs="Arial"/>
          <w:b/>
          <w:bCs/>
          <w:color w:val="000000" w:themeColor="text1"/>
          <w:sz w:val="20"/>
          <w:szCs w:val="20"/>
        </w:rPr>
      </w:pPr>
      <w:r w:rsidRPr="00434EEE">
        <w:rPr>
          <w:rFonts w:ascii="Arial" w:hAnsi="Arial" w:cs="Arial"/>
          <w:b/>
          <w:bCs/>
          <w:color w:val="000000" w:themeColor="text1"/>
          <w:sz w:val="20"/>
          <w:szCs w:val="20"/>
        </w:rPr>
        <w:br w:type="page"/>
      </w:r>
    </w:p>
    <w:p w14:paraId="54C9D14B" w14:textId="77777777" w:rsidR="00EF71D6" w:rsidRPr="00434EEE" w:rsidRDefault="00EF71D6" w:rsidP="00EF71D6"/>
    <w:sdt>
      <w:sdtPr>
        <w:rPr>
          <w:lang w:val="zh-CN"/>
        </w:rPr>
        <w:id w:val="1512098040"/>
        <w:docPartObj>
          <w:docPartGallery w:val="Table of Contents"/>
          <w:docPartUnique/>
        </w:docPartObj>
      </w:sdtPr>
      <w:sdtEndPr>
        <w:rPr>
          <w:b/>
          <w:bCs/>
        </w:rPr>
      </w:sdtEndPr>
      <w:sdtContent>
        <w:p w14:paraId="65E28922" w14:textId="43D4C657" w:rsidR="00EF71D6" w:rsidRDefault="00EF71D6" w:rsidP="00EF71D6">
          <w:pPr>
            <w:rPr>
              <w:rFonts w:ascii="Arial" w:hAnsi="Arial" w:cs="Arial"/>
              <w:b/>
              <w:bCs/>
              <w:sz w:val="22"/>
              <w:szCs w:val="22"/>
            </w:rPr>
          </w:pPr>
          <w:r>
            <w:rPr>
              <w:rFonts w:ascii="Arial" w:hAnsi="Arial" w:cs="Arial"/>
              <w:b/>
              <w:bCs/>
              <w:sz w:val="22"/>
              <w:szCs w:val="22"/>
            </w:rPr>
            <w:t>Table of Contents</w:t>
          </w:r>
        </w:p>
        <w:p w14:paraId="0D53452F" w14:textId="77777777" w:rsidR="00EF71D6" w:rsidRDefault="00EF71D6">
          <w:pPr>
            <w:pStyle w:val="TOC1"/>
            <w:tabs>
              <w:tab w:val="left" w:pos="440"/>
              <w:tab w:val="right" w:leader="dot" w:pos="9350"/>
            </w:tabs>
          </w:pPr>
        </w:p>
        <w:p w14:paraId="1960B68D" w14:textId="58424E3B" w:rsidR="00EF71D6" w:rsidRDefault="00EF71D6">
          <w:pPr>
            <w:pStyle w:val="TOC1"/>
            <w:tabs>
              <w:tab w:val="left" w:pos="440"/>
              <w:tab w:val="right" w:leader="dot" w:pos="9350"/>
            </w:tabs>
            <w:rPr>
              <w:noProof/>
            </w:rPr>
          </w:pPr>
          <w:r>
            <w:fldChar w:fldCharType="begin"/>
          </w:r>
          <w:r>
            <w:instrText xml:space="preserve"> TOC \o "1-3" \h \z \u </w:instrText>
          </w:r>
          <w:r>
            <w:fldChar w:fldCharType="separate"/>
          </w:r>
          <w:hyperlink w:anchor="_Toc204250332" w:history="1">
            <w:r w:rsidRPr="002A1984">
              <w:rPr>
                <w:rStyle w:val="Hyperlink"/>
                <w:noProof/>
              </w:rPr>
              <w:t>1.</w:t>
            </w:r>
            <w:r>
              <w:rPr>
                <w:noProof/>
              </w:rPr>
              <w:tab/>
            </w:r>
            <w:r w:rsidRPr="002A1984">
              <w:rPr>
                <w:rStyle w:val="Hyperlink"/>
                <w:noProof/>
              </w:rPr>
              <w:t>Problem description</w:t>
            </w:r>
            <w:r>
              <w:rPr>
                <w:noProof/>
                <w:webHidden/>
              </w:rPr>
              <w:tab/>
            </w:r>
            <w:r>
              <w:rPr>
                <w:noProof/>
                <w:webHidden/>
              </w:rPr>
              <w:fldChar w:fldCharType="begin"/>
            </w:r>
            <w:r>
              <w:rPr>
                <w:noProof/>
                <w:webHidden/>
              </w:rPr>
              <w:instrText xml:space="preserve"> PAGEREF _Toc204250332 \h </w:instrText>
            </w:r>
            <w:r>
              <w:rPr>
                <w:noProof/>
                <w:webHidden/>
              </w:rPr>
            </w:r>
            <w:r>
              <w:rPr>
                <w:noProof/>
                <w:webHidden/>
              </w:rPr>
              <w:fldChar w:fldCharType="separate"/>
            </w:r>
            <w:r w:rsidR="00D85F08">
              <w:rPr>
                <w:noProof/>
                <w:webHidden/>
              </w:rPr>
              <w:t>6</w:t>
            </w:r>
            <w:r>
              <w:rPr>
                <w:noProof/>
                <w:webHidden/>
              </w:rPr>
              <w:fldChar w:fldCharType="end"/>
            </w:r>
          </w:hyperlink>
        </w:p>
        <w:p w14:paraId="2E47EF1A" w14:textId="525E8026" w:rsidR="00EF71D6" w:rsidRDefault="00EF71D6">
          <w:pPr>
            <w:pStyle w:val="TOC1"/>
            <w:tabs>
              <w:tab w:val="left" w:pos="440"/>
              <w:tab w:val="right" w:leader="dot" w:pos="9350"/>
            </w:tabs>
            <w:rPr>
              <w:noProof/>
            </w:rPr>
          </w:pPr>
          <w:hyperlink w:anchor="_Toc204250333" w:history="1">
            <w:r w:rsidRPr="002A1984">
              <w:rPr>
                <w:rStyle w:val="Hyperlink"/>
                <w:noProof/>
              </w:rPr>
              <w:t>2.</w:t>
            </w:r>
            <w:r>
              <w:rPr>
                <w:noProof/>
              </w:rPr>
              <w:tab/>
            </w:r>
            <w:r w:rsidRPr="002A1984">
              <w:rPr>
                <w:rStyle w:val="Hyperlink"/>
                <w:noProof/>
              </w:rPr>
              <w:t>Background</w:t>
            </w:r>
            <w:r>
              <w:rPr>
                <w:noProof/>
                <w:webHidden/>
              </w:rPr>
              <w:tab/>
            </w:r>
            <w:r>
              <w:rPr>
                <w:noProof/>
                <w:webHidden/>
              </w:rPr>
              <w:fldChar w:fldCharType="begin"/>
            </w:r>
            <w:r>
              <w:rPr>
                <w:noProof/>
                <w:webHidden/>
              </w:rPr>
              <w:instrText xml:space="preserve"> PAGEREF _Toc204250333 \h </w:instrText>
            </w:r>
            <w:r>
              <w:rPr>
                <w:noProof/>
                <w:webHidden/>
              </w:rPr>
            </w:r>
            <w:r>
              <w:rPr>
                <w:noProof/>
                <w:webHidden/>
              </w:rPr>
              <w:fldChar w:fldCharType="separate"/>
            </w:r>
            <w:r w:rsidR="00D85F08">
              <w:rPr>
                <w:noProof/>
                <w:webHidden/>
              </w:rPr>
              <w:t>6</w:t>
            </w:r>
            <w:r>
              <w:rPr>
                <w:noProof/>
                <w:webHidden/>
              </w:rPr>
              <w:fldChar w:fldCharType="end"/>
            </w:r>
          </w:hyperlink>
        </w:p>
        <w:p w14:paraId="18AC94E9" w14:textId="511622BE" w:rsidR="00EF71D6" w:rsidRDefault="00EF71D6">
          <w:pPr>
            <w:pStyle w:val="TOC1"/>
            <w:tabs>
              <w:tab w:val="left" w:pos="440"/>
              <w:tab w:val="right" w:leader="dot" w:pos="9350"/>
            </w:tabs>
            <w:rPr>
              <w:noProof/>
            </w:rPr>
          </w:pPr>
          <w:hyperlink w:anchor="_Toc204250334" w:history="1">
            <w:r w:rsidRPr="002A1984">
              <w:rPr>
                <w:rStyle w:val="Hyperlink"/>
                <w:noProof/>
              </w:rPr>
              <w:t>3.</w:t>
            </w:r>
            <w:r>
              <w:rPr>
                <w:noProof/>
              </w:rPr>
              <w:tab/>
            </w:r>
            <w:r w:rsidRPr="002A1984">
              <w:rPr>
                <w:rStyle w:val="Hyperlink"/>
                <w:noProof/>
              </w:rPr>
              <w:t>Research scope and objectives:</w:t>
            </w:r>
            <w:r>
              <w:rPr>
                <w:noProof/>
                <w:webHidden/>
              </w:rPr>
              <w:tab/>
            </w:r>
            <w:r>
              <w:rPr>
                <w:noProof/>
                <w:webHidden/>
              </w:rPr>
              <w:fldChar w:fldCharType="begin"/>
            </w:r>
            <w:r>
              <w:rPr>
                <w:noProof/>
                <w:webHidden/>
              </w:rPr>
              <w:instrText xml:space="preserve"> PAGEREF _Toc204250334 \h </w:instrText>
            </w:r>
            <w:r>
              <w:rPr>
                <w:noProof/>
                <w:webHidden/>
              </w:rPr>
            </w:r>
            <w:r>
              <w:rPr>
                <w:noProof/>
                <w:webHidden/>
              </w:rPr>
              <w:fldChar w:fldCharType="separate"/>
            </w:r>
            <w:r w:rsidR="00D85F08">
              <w:rPr>
                <w:noProof/>
                <w:webHidden/>
              </w:rPr>
              <w:t>7</w:t>
            </w:r>
            <w:r>
              <w:rPr>
                <w:noProof/>
                <w:webHidden/>
              </w:rPr>
              <w:fldChar w:fldCharType="end"/>
            </w:r>
          </w:hyperlink>
        </w:p>
        <w:p w14:paraId="2FD967AB" w14:textId="1B7759E0" w:rsidR="00EF71D6" w:rsidRDefault="00EF71D6">
          <w:pPr>
            <w:pStyle w:val="TOC1"/>
            <w:tabs>
              <w:tab w:val="left" w:pos="440"/>
              <w:tab w:val="right" w:leader="dot" w:pos="9350"/>
            </w:tabs>
            <w:rPr>
              <w:noProof/>
            </w:rPr>
          </w:pPr>
          <w:hyperlink w:anchor="_Toc204250335" w:history="1">
            <w:r w:rsidRPr="002A1984">
              <w:rPr>
                <w:rStyle w:val="Hyperlink"/>
                <w:noProof/>
              </w:rPr>
              <w:t>4.</w:t>
            </w:r>
            <w:r>
              <w:rPr>
                <w:noProof/>
              </w:rPr>
              <w:tab/>
            </w:r>
            <w:r w:rsidRPr="002A1984">
              <w:rPr>
                <w:rStyle w:val="Hyperlink"/>
                <w:noProof/>
              </w:rPr>
              <w:t>Research description</w:t>
            </w:r>
            <w:r>
              <w:rPr>
                <w:noProof/>
                <w:webHidden/>
              </w:rPr>
              <w:tab/>
            </w:r>
            <w:r>
              <w:rPr>
                <w:noProof/>
                <w:webHidden/>
              </w:rPr>
              <w:fldChar w:fldCharType="begin"/>
            </w:r>
            <w:r>
              <w:rPr>
                <w:noProof/>
                <w:webHidden/>
              </w:rPr>
              <w:instrText xml:space="preserve"> PAGEREF _Toc204250335 \h </w:instrText>
            </w:r>
            <w:r>
              <w:rPr>
                <w:noProof/>
                <w:webHidden/>
              </w:rPr>
            </w:r>
            <w:r>
              <w:rPr>
                <w:noProof/>
                <w:webHidden/>
              </w:rPr>
              <w:fldChar w:fldCharType="separate"/>
            </w:r>
            <w:r w:rsidR="00D85F08">
              <w:rPr>
                <w:noProof/>
                <w:webHidden/>
              </w:rPr>
              <w:t>7</w:t>
            </w:r>
            <w:r>
              <w:rPr>
                <w:noProof/>
                <w:webHidden/>
              </w:rPr>
              <w:fldChar w:fldCharType="end"/>
            </w:r>
          </w:hyperlink>
        </w:p>
        <w:p w14:paraId="426AC75D" w14:textId="4E219901" w:rsidR="00EF71D6" w:rsidRDefault="00EF71D6">
          <w:pPr>
            <w:pStyle w:val="TOC2"/>
            <w:tabs>
              <w:tab w:val="right" w:leader="dot" w:pos="9350"/>
            </w:tabs>
            <w:ind w:left="480"/>
            <w:rPr>
              <w:noProof/>
            </w:rPr>
          </w:pPr>
          <w:hyperlink w:anchor="_Toc204250336" w:history="1">
            <w:r w:rsidRPr="002A1984">
              <w:rPr>
                <w:rStyle w:val="Hyperlink"/>
                <w:noProof/>
              </w:rPr>
              <w:t>4.1. Task 1. Comparing the performances of three fungal strains on mineral precipitation</w:t>
            </w:r>
            <w:r>
              <w:rPr>
                <w:noProof/>
                <w:webHidden/>
              </w:rPr>
              <w:tab/>
            </w:r>
            <w:r>
              <w:rPr>
                <w:noProof/>
                <w:webHidden/>
              </w:rPr>
              <w:fldChar w:fldCharType="begin"/>
            </w:r>
            <w:r>
              <w:rPr>
                <w:noProof/>
                <w:webHidden/>
              </w:rPr>
              <w:instrText xml:space="preserve"> PAGEREF _Toc204250336 \h </w:instrText>
            </w:r>
            <w:r>
              <w:rPr>
                <w:noProof/>
                <w:webHidden/>
              </w:rPr>
            </w:r>
            <w:r>
              <w:rPr>
                <w:noProof/>
                <w:webHidden/>
              </w:rPr>
              <w:fldChar w:fldCharType="separate"/>
            </w:r>
            <w:r w:rsidR="00D85F08">
              <w:rPr>
                <w:noProof/>
                <w:webHidden/>
              </w:rPr>
              <w:t>7</w:t>
            </w:r>
            <w:r>
              <w:rPr>
                <w:noProof/>
                <w:webHidden/>
              </w:rPr>
              <w:fldChar w:fldCharType="end"/>
            </w:r>
          </w:hyperlink>
        </w:p>
        <w:p w14:paraId="156F1620" w14:textId="0AFB1CA0" w:rsidR="00EF71D6" w:rsidRDefault="00EF71D6">
          <w:pPr>
            <w:pStyle w:val="TOC3"/>
            <w:tabs>
              <w:tab w:val="right" w:leader="dot" w:pos="9350"/>
            </w:tabs>
            <w:ind w:left="960"/>
            <w:rPr>
              <w:noProof/>
            </w:rPr>
          </w:pPr>
          <w:hyperlink w:anchor="_Toc204250337" w:history="1">
            <w:r w:rsidRPr="002A1984">
              <w:rPr>
                <w:rStyle w:val="Hyperlink"/>
                <w:noProof/>
              </w:rPr>
              <w:t>4.1.1. Cultivation of three fungal strains</w:t>
            </w:r>
            <w:r>
              <w:rPr>
                <w:noProof/>
                <w:webHidden/>
              </w:rPr>
              <w:tab/>
            </w:r>
            <w:r>
              <w:rPr>
                <w:noProof/>
                <w:webHidden/>
              </w:rPr>
              <w:fldChar w:fldCharType="begin"/>
            </w:r>
            <w:r>
              <w:rPr>
                <w:noProof/>
                <w:webHidden/>
              </w:rPr>
              <w:instrText xml:space="preserve"> PAGEREF _Toc204250337 \h </w:instrText>
            </w:r>
            <w:r>
              <w:rPr>
                <w:noProof/>
                <w:webHidden/>
              </w:rPr>
            </w:r>
            <w:r>
              <w:rPr>
                <w:noProof/>
                <w:webHidden/>
              </w:rPr>
              <w:fldChar w:fldCharType="separate"/>
            </w:r>
            <w:r w:rsidR="00D85F08">
              <w:rPr>
                <w:noProof/>
                <w:webHidden/>
              </w:rPr>
              <w:t>7</w:t>
            </w:r>
            <w:r>
              <w:rPr>
                <w:noProof/>
                <w:webHidden/>
              </w:rPr>
              <w:fldChar w:fldCharType="end"/>
            </w:r>
          </w:hyperlink>
        </w:p>
        <w:p w14:paraId="61B08D35" w14:textId="0F8217BD" w:rsidR="00EF71D6" w:rsidRDefault="00EF71D6">
          <w:pPr>
            <w:pStyle w:val="TOC3"/>
            <w:tabs>
              <w:tab w:val="right" w:leader="dot" w:pos="9350"/>
            </w:tabs>
            <w:ind w:left="960"/>
            <w:rPr>
              <w:noProof/>
            </w:rPr>
          </w:pPr>
          <w:hyperlink w:anchor="_Toc204250338" w:history="1">
            <w:r w:rsidRPr="002A1984">
              <w:rPr>
                <w:rStyle w:val="Hyperlink"/>
                <w:noProof/>
              </w:rPr>
              <w:t>4.1.2. Adding cementation solution to induce mineral precipitation</w:t>
            </w:r>
            <w:r>
              <w:rPr>
                <w:noProof/>
                <w:webHidden/>
              </w:rPr>
              <w:tab/>
            </w:r>
            <w:r>
              <w:rPr>
                <w:noProof/>
                <w:webHidden/>
              </w:rPr>
              <w:fldChar w:fldCharType="begin"/>
            </w:r>
            <w:r>
              <w:rPr>
                <w:noProof/>
                <w:webHidden/>
              </w:rPr>
              <w:instrText xml:space="preserve"> PAGEREF _Toc204250338 \h </w:instrText>
            </w:r>
            <w:r>
              <w:rPr>
                <w:noProof/>
                <w:webHidden/>
              </w:rPr>
            </w:r>
            <w:r>
              <w:rPr>
                <w:noProof/>
                <w:webHidden/>
              </w:rPr>
              <w:fldChar w:fldCharType="separate"/>
            </w:r>
            <w:r w:rsidR="00D85F08">
              <w:rPr>
                <w:noProof/>
                <w:webHidden/>
              </w:rPr>
              <w:t>7</w:t>
            </w:r>
            <w:r>
              <w:rPr>
                <w:noProof/>
                <w:webHidden/>
              </w:rPr>
              <w:fldChar w:fldCharType="end"/>
            </w:r>
          </w:hyperlink>
        </w:p>
        <w:p w14:paraId="4D262450" w14:textId="24115AA7" w:rsidR="00EF71D6" w:rsidRDefault="00EF71D6">
          <w:pPr>
            <w:pStyle w:val="TOC3"/>
            <w:tabs>
              <w:tab w:val="right" w:leader="dot" w:pos="9350"/>
            </w:tabs>
            <w:ind w:left="960"/>
            <w:rPr>
              <w:noProof/>
            </w:rPr>
          </w:pPr>
          <w:hyperlink w:anchor="_Toc204250339" w:history="1">
            <w:r w:rsidRPr="002A1984">
              <w:rPr>
                <w:rStyle w:val="Hyperlink"/>
                <w:noProof/>
              </w:rPr>
              <w:t>4.1.3. pH and NH</w:t>
            </w:r>
            <w:r w:rsidRPr="002A1984">
              <w:rPr>
                <w:rStyle w:val="Hyperlink"/>
                <w:noProof/>
                <w:vertAlign w:val="subscript"/>
              </w:rPr>
              <w:t>4</w:t>
            </w:r>
            <w:r w:rsidRPr="002A1984">
              <w:rPr>
                <w:rStyle w:val="Hyperlink"/>
                <w:noProof/>
                <w:vertAlign w:val="superscript"/>
              </w:rPr>
              <w:t>+</w:t>
            </w:r>
            <w:r w:rsidRPr="002A1984">
              <w:rPr>
                <w:rStyle w:val="Hyperlink"/>
                <w:noProof/>
              </w:rPr>
              <w:t xml:space="preserve"> measurements</w:t>
            </w:r>
            <w:r>
              <w:rPr>
                <w:noProof/>
                <w:webHidden/>
              </w:rPr>
              <w:tab/>
            </w:r>
            <w:r>
              <w:rPr>
                <w:noProof/>
                <w:webHidden/>
              </w:rPr>
              <w:fldChar w:fldCharType="begin"/>
            </w:r>
            <w:r>
              <w:rPr>
                <w:noProof/>
                <w:webHidden/>
              </w:rPr>
              <w:instrText xml:space="preserve"> PAGEREF _Toc204250339 \h </w:instrText>
            </w:r>
            <w:r>
              <w:rPr>
                <w:noProof/>
                <w:webHidden/>
              </w:rPr>
            </w:r>
            <w:r>
              <w:rPr>
                <w:noProof/>
                <w:webHidden/>
              </w:rPr>
              <w:fldChar w:fldCharType="separate"/>
            </w:r>
            <w:r w:rsidR="00D85F08">
              <w:rPr>
                <w:noProof/>
                <w:webHidden/>
              </w:rPr>
              <w:t>8</w:t>
            </w:r>
            <w:r>
              <w:rPr>
                <w:noProof/>
                <w:webHidden/>
              </w:rPr>
              <w:fldChar w:fldCharType="end"/>
            </w:r>
          </w:hyperlink>
        </w:p>
        <w:p w14:paraId="4B4BE6C8" w14:textId="5D434AE2" w:rsidR="00EF71D6" w:rsidRDefault="00EF71D6">
          <w:pPr>
            <w:pStyle w:val="TOC3"/>
            <w:tabs>
              <w:tab w:val="right" w:leader="dot" w:pos="9350"/>
            </w:tabs>
            <w:ind w:left="960"/>
            <w:rPr>
              <w:noProof/>
            </w:rPr>
          </w:pPr>
          <w:hyperlink w:anchor="_Toc204250340" w:history="1">
            <w:r w:rsidRPr="002A1984">
              <w:rPr>
                <w:rStyle w:val="Hyperlink"/>
                <w:noProof/>
              </w:rPr>
              <w:t>4.1.4. SEM, EDS, and XRD analysis</w:t>
            </w:r>
            <w:r>
              <w:rPr>
                <w:noProof/>
                <w:webHidden/>
              </w:rPr>
              <w:tab/>
            </w:r>
            <w:r>
              <w:rPr>
                <w:noProof/>
                <w:webHidden/>
              </w:rPr>
              <w:fldChar w:fldCharType="begin"/>
            </w:r>
            <w:r>
              <w:rPr>
                <w:noProof/>
                <w:webHidden/>
              </w:rPr>
              <w:instrText xml:space="preserve"> PAGEREF _Toc204250340 \h </w:instrText>
            </w:r>
            <w:r>
              <w:rPr>
                <w:noProof/>
                <w:webHidden/>
              </w:rPr>
            </w:r>
            <w:r>
              <w:rPr>
                <w:noProof/>
                <w:webHidden/>
              </w:rPr>
              <w:fldChar w:fldCharType="separate"/>
            </w:r>
            <w:r w:rsidR="00D85F08">
              <w:rPr>
                <w:noProof/>
                <w:webHidden/>
              </w:rPr>
              <w:t>8</w:t>
            </w:r>
            <w:r>
              <w:rPr>
                <w:noProof/>
                <w:webHidden/>
              </w:rPr>
              <w:fldChar w:fldCharType="end"/>
            </w:r>
          </w:hyperlink>
        </w:p>
        <w:p w14:paraId="39E158B4" w14:textId="41254492" w:rsidR="00EF71D6" w:rsidRDefault="00EF71D6">
          <w:pPr>
            <w:pStyle w:val="TOC2"/>
            <w:tabs>
              <w:tab w:val="right" w:leader="dot" w:pos="9350"/>
            </w:tabs>
            <w:ind w:left="480"/>
            <w:rPr>
              <w:noProof/>
            </w:rPr>
          </w:pPr>
          <w:hyperlink w:anchor="_Toc204250341" w:history="1">
            <w:r w:rsidRPr="002A1984">
              <w:rPr>
                <w:rStyle w:val="Hyperlink"/>
                <w:noProof/>
              </w:rPr>
              <w:t>4.2. Task 2. Investigating the growth of three fungal strains on the cement mortar surface</w:t>
            </w:r>
            <w:r>
              <w:rPr>
                <w:noProof/>
                <w:webHidden/>
              </w:rPr>
              <w:tab/>
            </w:r>
            <w:r>
              <w:rPr>
                <w:noProof/>
                <w:webHidden/>
              </w:rPr>
              <w:fldChar w:fldCharType="begin"/>
            </w:r>
            <w:r>
              <w:rPr>
                <w:noProof/>
                <w:webHidden/>
              </w:rPr>
              <w:instrText xml:space="preserve"> PAGEREF _Toc204250341 \h </w:instrText>
            </w:r>
            <w:r>
              <w:rPr>
                <w:noProof/>
                <w:webHidden/>
              </w:rPr>
            </w:r>
            <w:r>
              <w:rPr>
                <w:noProof/>
                <w:webHidden/>
              </w:rPr>
              <w:fldChar w:fldCharType="separate"/>
            </w:r>
            <w:r w:rsidR="00D85F08">
              <w:rPr>
                <w:noProof/>
                <w:webHidden/>
              </w:rPr>
              <w:t>8</w:t>
            </w:r>
            <w:r>
              <w:rPr>
                <w:noProof/>
                <w:webHidden/>
              </w:rPr>
              <w:fldChar w:fldCharType="end"/>
            </w:r>
          </w:hyperlink>
        </w:p>
        <w:p w14:paraId="1514C743" w14:textId="33E4ED2F" w:rsidR="00EF71D6" w:rsidRDefault="00EF71D6">
          <w:pPr>
            <w:pStyle w:val="TOC3"/>
            <w:tabs>
              <w:tab w:val="right" w:leader="dot" w:pos="9350"/>
            </w:tabs>
            <w:ind w:left="960"/>
            <w:rPr>
              <w:noProof/>
            </w:rPr>
          </w:pPr>
          <w:hyperlink w:anchor="_Toc204250342" w:history="1">
            <w:r w:rsidRPr="002A1984">
              <w:rPr>
                <w:rStyle w:val="Hyperlink"/>
                <w:noProof/>
              </w:rPr>
              <w:t>4.2.1. Sample preparation</w:t>
            </w:r>
            <w:r>
              <w:rPr>
                <w:noProof/>
                <w:webHidden/>
              </w:rPr>
              <w:tab/>
            </w:r>
            <w:r>
              <w:rPr>
                <w:noProof/>
                <w:webHidden/>
              </w:rPr>
              <w:fldChar w:fldCharType="begin"/>
            </w:r>
            <w:r>
              <w:rPr>
                <w:noProof/>
                <w:webHidden/>
              </w:rPr>
              <w:instrText xml:space="preserve"> PAGEREF _Toc204250342 \h </w:instrText>
            </w:r>
            <w:r>
              <w:rPr>
                <w:noProof/>
                <w:webHidden/>
              </w:rPr>
            </w:r>
            <w:r>
              <w:rPr>
                <w:noProof/>
                <w:webHidden/>
              </w:rPr>
              <w:fldChar w:fldCharType="separate"/>
            </w:r>
            <w:r w:rsidR="00D85F08">
              <w:rPr>
                <w:noProof/>
                <w:webHidden/>
              </w:rPr>
              <w:t>8</w:t>
            </w:r>
            <w:r>
              <w:rPr>
                <w:noProof/>
                <w:webHidden/>
              </w:rPr>
              <w:fldChar w:fldCharType="end"/>
            </w:r>
          </w:hyperlink>
        </w:p>
        <w:p w14:paraId="592D0EF5" w14:textId="2686013F" w:rsidR="00EF71D6" w:rsidRDefault="00EF71D6">
          <w:pPr>
            <w:pStyle w:val="TOC3"/>
            <w:tabs>
              <w:tab w:val="right" w:leader="dot" w:pos="9350"/>
            </w:tabs>
            <w:ind w:left="960"/>
            <w:rPr>
              <w:noProof/>
            </w:rPr>
          </w:pPr>
          <w:hyperlink w:anchor="_Toc204250343" w:history="1">
            <w:r w:rsidRPr="002A1984">
              <w:rPr>
                <w:rStyle w:val="Hyperlink"/>
                <w:noProof/>
              </w:rPr>
              <w:t>4.2.2. Fungal inoculation and cultivation</w:t>
            </w:r>
            <w:r>
              <w:rPr>
                <w:noProof/>
                <w:webHidden/>
              </w:rPr>
              <w:tab/>
            </w:r>
            <w:r>
              <w:rPr>
                <w:noProof/>
                <w:webHidden/>
              </w:rPr>
              <w:fldChar w:fldCharType="begin"/>
            </w:r>
            <w:r>
              <w:rPr>
                <w:noProof/>
                <w:webHidden/>
              </w:rPr>
              <w:instrText xml:space="preserve"> PAGEREF _Toc204250343 \h </w:instrText>
            </w:r>
            <w:r>
              <w:rPr>
                <w:noProof/>
                <w:webHidden/>
              </w:rPr>
            </w:r>
            <w:r>
              <w:rPr>
                <w:noProof/>
                <w:webHidden/>
              </w:rPr>
              <w:fldChar w:fldCharType="separate"/>
            </w:r>
            <w:r w:rsidR="00D85F08">
              <w:rPr>
                <w:noProof/>
                <w:webHidden/>
              </w:rPr>
              <w:t>9</w:t>
            </w:r>
            <w:r>
              <w:rPr>
                <w:noProof/>
                <w:webHidden/>
              </w:rPr>
              <w:fldChar w:fldCharType="end"/>
            </w:r>
          </w:hyperlink>
        </w:p>
        <w:p w14:paraId="30A3C0FF" w14:textId="5BCAEED7" w:rsidR="00EF71D6" w:rsidRDefault="00EF71D6">
          <w:pPr>
            <w:pStyle w:val="TOC2"/>
            <w:tabs>
              <w:tab w:val="right" w:leader="dot" w:pos="9350"/>
            </w:tabs>
            <w:ind w:left="480"/>
            <w:rPr>
              <w:noProof/>
            </w:rPr>
          </w:pPr>
          <w:hyperlink w:anchor="_Toc204250344" w:history="1">
            <w:r w:rsidRPr="002A1984">
              <w:rPr>
                <w:rStyle w:val="Hyperlink"/>
                <w:noProof/>
              </w:rPr>
              <w:t>4.3. Task 3. Assessing the self-healing capability of cement mortar cracks using fungal strains</w:t>
            </w:r>
            <w:r>
              <w:rPr>
                <w:noProof/>
                <w:webHidden/>
              </w:rPr>
              <w:tab/>
            </w:r>
            <w:r>
              <w:rPr>
                <w:noProof/>
                <w:webHidden/>
              </w:rPr>
              <w:fldChar w:fldCharType="begin"/>
            </w:r>
            <w:r>
              <w:rPr>
                <w:noProof/>
                <w:webHidden/>
              </w:rPr>
              <w:instrText xml:space="preserve"> PAGEREF _Toc204250344 \h </w:instrText>
            </w:r>
            <w:r>
              <w:rPr>
                <w:noProof/>
                <w:webHidden/>
              </w:rPr>
            </w:r>
            <w:r>
              <w:rPr>
                <w:noProof/>
                <w:webHidden/>
              </w:rPr>
              <w:fldChar w:fldCharType="separate"/>
            </w:r>
            <w:r w:rsidR="00D85F08">
              <w:rPr>
                <w:noProof/>
                <w:webHidden/>
              </w:rPr>
              <w:t>9</w:t>
            </w:r>
            <w:r>
              <w:rPr>
                <w:noProof/>
                <w:webHidden/>
              </w:rPr>
              <w:fldChar w:fldCharType="end"/>
            </w:r>
          </w:hyperlink>
        </w:p>
        <w:p w14:paraId="152FB102" w14:textId="2C876CE0" w:rsidR="00EF71D6" w:rsidRDefault="00EF71D6">
          <w:pPr>
            <w:pStyle w:val="TOC3"/>
            <w:tabs>
              <w:tab w:val="right" w:leader="dot" w:pos="9350"/>
            </w:tabs>
            <w:ind w:left="960"/>
            <w:rPr>
              <w:noProof/>
            </w:rPr>
          </w:pPr>
          <w:hyperlink w:anchor="_Toc204250345" w:history="1">
            <w:r w:rsidRPr="002A1984">
              <w:rPr>
                <w:rStyle w:val="Hyperlink"/>
                <w:noProof/>
              </w:rPr>
              <w:t>4.3.1. Sample Preparation Procedures</w:t>
            </w:r>
            <w:r>
              <w:rPr>
                <w:noProof/>
                <w:webHidden/>
              </w:rPr>
              <w:tab/>
            </w:r>
            <w:r>
              <w:rPr>
                <w:noProof/>
                <w:webHidden/>
              </w:rPr>
              <w:fldChar w:fldCharType="begin"/>
            </w:r>
            <w:r>
              <w:rPr>
                <w:noProof/>
                <w:webHidden/>
              </w:rPr>
              <w:instrText xml:space="preserve"> PAGEREF _Toc204250345 \h </w:instrText>
            </w:r>
            <w:r>
              <w:rPr>
                <w:noProof/>
                <w:webHidden/>
              </w:rPr>
            </w:r>
            <w:r>
              <w:rPr>
                <w:noProof/>
                <w:webHidden/>
              </w:rPr>
              <w:fldChar w:fldCharType="separate"/>
            </w:r>
            <w:r w:rsidR="00D85F08">
              <w:rPr>
                <w:noProof/>
                <w:webHidden/>
              </w:rPr>
              <w:t>9</w:t>
            </w:r>
            <w:r>
              <w:rPr>
                <w:noProof/>
                <w:webHidden/>
              </w:rPr>
              <w:fldChar w:fldCharType="end"/>
            </w:r>
          </w:hyperlink>
        </w:p>
        <w:p w14:paraId="61A6604F" w14:textId="5B531E91" w:rsidR="00EF71D6" w:rsidRDefault="00EF71D6">
          <w:pPr>
            <w:pStyle w:val="TOC3"/>
            <w:tabs>
              <w:tab w:val="right" w:leader="dot" w:pos="9350"/>
            </w:tabs>
            <w:ind w:left="960"/>
            <w:rPr>
              <w:noProof/>
            </w:rPr>
          </w:pPr>
          <w:hyperlink w:anchor="_Toc204250346" w:history="1">
            <w:r w:rsidRPr="002A1984">
              <w:rPr>
                <w:rStyle w:val="Hyperlink"/>
                <w:noProof/>
              </w:rPr>
              <w:t>4.3.2. Crack healing evaluation methods</w:t>
            </w:r>
            <w:r>
              <w:rPr>
                <w:noProof/>
                <w:webHidden/>
              </w:rPr>
              <w:tab/>
            </w:r>
            <w:r>
              <w:rPr>
                <w:noProof/>
                <w:webHidden/>
              </w:rPr>
              <w:fldChar w:fldCharType="begin"/>
            </w:r>
            <w:r>
              <w:rPr>
                <w:noProof/>
                <w:webHidden/>
              </w:rPr>
              <w:instrText xml:space="preserve"> PAGEREF _Toc204250346 \h </w:instrText>
            </w:r>
            <w:r>
              <w:rPr>
                <w:noProof/>
                <w:webHidden/>
              </w:rPr>
            </w:r>
            <w:r>
              <w:rPr>
                <w:noProof/>
                <w:webHidden/>
              </w:rPr>
              <w:fldChar w:fldCharType="separate"/>
            </w:r>
            <w:r w:rsidR="00D85F08">
              <w:rPr>
                <w:noProof/>
                <w:webHidden/>
              </w:rPr>
              <w:t>13</w:t>
            </w:r>
            <w:r>
              <w:rPr>
                <w:noProof/>
                <w:webHidden/>
              </w:rPr>
              <w:fldChar w:fldCharType="end"/>
            </w:r>
          </w:hyperlink>
        </w:p>
        <w:p w14:paraId="46C99496" w14:textId="1AB4D54E" w:rsidR="00EF71D6" w:rsidRDefault="00EF71D6">
          <w:pPr>
            <w:pStyle w:val="TOC1"/>
            <w:tabs>
              <w:tab w:val="left" w:pos="420"/>
              <w:tab w:val="right" w:leader="dot" w:pos="9350"/>
            </w:tabs>
            <w:rPr>
              <w:noProof/>
            </w:rPr>
          </w:pPr>
          <w:hyperlink w:anchor="_Toc204250347" w:history="1">
            <w:r w:rsidRPr="002A1984">
              <w:rPr>
                <w:rStyle w:val="Hyperlink"/>
                <w:noProof/>
              </w:rPr>
              <w:t>5.</w:t>
            </w:r>
            <w:r>
              <w:rPr>
                <w:noProof/>
              </w:rPr>
              <w:tab/>
            </w:r>
            <w:r w:rsidRPr="002A1984">
              <w:rPr>
                <w:rStyle w:val="Hyperlink"/>
                <w:noProof/>
              </w:rPr>
              <w:t>Project results:</w:t>
            </w:r>
            <w:r>
              <w:rPr>
                <w:noProof/>
                <w:webHidden/>
              </w:rPr>
              <w:tab/>
            </w:r>
            <w:r>
              <w:rPr>
                <w:noProof/>
                <w:webHidden/>
              </w:rPr>
              <w:fldChar w:fldCharType="begin"/>
            </w:r>
            <w:r>
              <w:rPr>
                <w:noProof/>
                <w:webHidden/>
              </w:rPr>
              <w:instrText xml:space="preserve"> PAGEREF _Toc204250347 \h </w:instrText>
            </w:r>
            <w:r>
              <w:rPr>
                <w:noProof/>
                <w:webHidden/>
              </w:rPr>
            </w:r>
            <w:r>
              <w:rPr>
                <w:noProof/>
                <w:webHidden/>
              </w:rPr>
              <w:fldChar w:fldCharType="separate"/>
            </w:r>
            <w:r w:rsidR="00D85F08">
              <w:rPr>
                <w:noProof/>
                <w:webHidden/>
              </w:rPr>
              <w:t>16</w:t>
            </w:r>
            <w:r>
              <w:rPr>
                <w:noProof/>
                <w:webHidden/>
              </w:rPr>
              <w:fldChar w:fldCharType="end"/>
            </w:r>
          </w:hyperlink>
        </w:p>
        <w:p w14:paraId="3E5608D2" w14:textId="763BF029" w:rsidR="00EF71D6" w:rsidRDefault="00EF71D6">
          <w:pPr>
            <w:pStyle w:val="TOC2"/>
            <w:tabs>
              <w:tab w:val="right" w:leader="dot" w:pos="9350"/>
            </w:tabs>
            <w:ind w:left="480"/>
            <w:rPr>
              <w:noProof/>
            </w:rPr>
          </w:pPr>
          <w:hyperlink w:anchor="_Toc204250348" w:history="1">
            <w:r w:rsidRPr="002A1984">
              <w:rPr>
                <w:rStyle w:val="Hyperlink"/>
                <w:noProof/>
              </w:rPr>
              <w:t>5.1. Task 1. Evaluating the performance of three fungal strains on mineral precipitation</w:t>
            </w:r>
            <w:r>
              <w:rPr>
                <w:noProof/>
                <w:webHidden/>
              </w:rPr>
              <w:tab/>
            </w:r>
            <w:r>
              <w:rPr>
                <w:noProof/>
                <w:webHidden/>
              </w:rPr>
              <w:fldChar w:fldCharType="begin"/>
            </w:r>
            <w:r>
              <w:rPr>
                <w:noProof/>
                <w:webHidden/>
              </w:rPr>
              <w:instrText xml:space="preserve"> PAGEREF _Toc204250348 \h </w:instrText>
            </w:r>
            <w:r>
              <w:rPr>
                <w:noProof/>
                <w:webHidden/>
              </w:rPr>
            </w:r>
            <w:r>
              <w:rPr>
                <w:noProof/>
                <w:webHidden/>
              </w:rPr>
              <w:fldChar w:fldCharType="separate"/>
            </w:r>
            <w:r w:rsidR="00D85F08">
              <w:rPr>
                <w:noProof/>
                <w:webHidden/>
              </w:rPr>
              <w:t>16</w:t>
            </w:r>
            <w:r>
              <w:rPr>
                <w:noProof/>
                <w:webHidden/>
              </w:rPr>
              <w:fldChar w:fldCharType="end"/>
            </w:r>
          </w:hyperlink>
        </w:p>
        <w:p w14:paraId="059D4153" w14:textId="251284CB" w:rsidR="00EF71D6" w:rsidRDefault="00EF71D6">
          <w:pPr>
            <w:pStyle w:val="TOC2"/>
            <w:tabs>
              <w:tab w:val="right" w:leader="dot" w:pos="9350"/>
            </w:tabs>
            <w:ind w:left="480"/>
            <w:rPr>
              <w:noProof/>
            </w:rPr>
          </w:pPr>
          <w:hyperlink w:anchor="_Toc204250349" w:history="1">
            <w:r w:rsidRPr="002A1984">
              <w:rPr>
                <w:rStyle w:val="Hyperlink"/>
                <w:noProof/>
              </w:rPr>
              <w:t>5.2. Task 2. Investigating the performance of three fungal strains to induce mineral precipitation on the cement mortar surface.</w:t>
            </w:r>
            <w:r>
              <w:rPr>
                <w:noProof/>
                <w:webHidden/>
              </w:rPr>
              <w:tab/>
            </w:r>
            <w:r>
              <w:rPr>
                <w:noProof/>
                <w:webHidden/>
              </w:rPr>
              <w:fldChar w:fldCharType="begin"/>
            </w:r>
            <w:r>
              <w:rPr>
                <w:noProof/>
                <w:webHidden/>
              </w:rPr>
              <w:instrText xml:space="preserve"> PAGEREF _Toc204250349 \h </w:instrText>
            </w:r>
            <w:r>
              <w:rPr>
                <w:noProof/>
                <w:webHidden/>
              </w:rPr>
            </w:r>
            <w:r>
              <w:rPr>
                <w:noProof/>
                <w:webHidden/>
              </w:rPr>
              <w:fldChar w:fldCharType="separate"/>
            </w:r>
            <w:r w:rsidR="00D85F08">
              <w:rPr>
                <w:noProof/>
                <w:webHidden/>
              </w:rPr>
              <w:t>19</w:t>
            </w:r>
            <w:r>
              <w:rPr>
                <w:noProof/>
                <w:webHidden/>
              </w:rPr>
              <w:fldChar w:fldCharType="end"/>
            </w:r>
          </w:hyperlink>
        </w:p>
        <w:p w14:paraId="7CDFC93E" w14:textId="771706A9" w:rsidR="00EF71D6" w:rsidRDefault="00EF71D6">
          <w:pPr>
            <w:pStyle w:val="TOC2"/>
            <w:tabs>
              <w:tab w:val="right" w:leader="dot" w:pos="9350"/>
            </w:tabs>
            <w:ind w:left="480"/>
            <w:rPr>
              <w:noProof/>
            </w:rPr>
          </w:pPr>
          <w:hyperlink w:anchor="_Toc204250350" w:history="1">
            <w:r w:rsidRPr="002A1984">
              <w:rPr>
                <w:rStyle w:val="Hyperlink"/>
                <w:noProof/>
              </w:rPr>
              <w:t>5.3. Task 3. Assessing the self-healing capability of cement mortar cracks using fungal strains</w:t>
            </w:r>
            <w:r>
              <w:rPr>
                <w:noProof/>
                <w:webHidden/>
              </w:rPr>
              <w:tab/>
            </w:r>
            <w:r>
              <w:rPr>
                <w:noProof/>
                <w:webHidden/>
              </w:rPr>
              <w:fldChar w:fldCharType="begin"/>
            </w:r>
            <w:r>
              <w:rPr>
                <w:noProof/>
                <w:webHidden/>
              </w:rPr>
              <w:instrText xml:space="preserve"> PAGEREF _Toc204250350 \h </w:instrText>
            </w:r>
            <w:r>
              <w:rPr>
                <w:noProof/>
                <w:webHidden/>
              </w:rPr>
            </w:r>
            <w:r>
              <w:rPr>
                <w:noProof/>
                <w:webHidden/>
              </w:rPr>
              <w:fldChar w:fldCharType="separate"/>
            </w:r>
            <w:r w:rsidR="00D85F08">
              <w:rPr>
                <w:noProof/>
                <w:webHidden/>
              </w:rPr>
              <w:t>20</w:t>
            </w:r>
            <w:r>
              <w:rPr>
                <w:noProof/>
                <w:webHidden/>
              </w:rPr>
              <w:fldChar w:fldCharType="end"/>
            </w:r>
          </w:hyperlink>
        </w:p>
        <w:p w14:paraId="3038434A" w14:textId="78C96472" w:rsidR="00EF71D6" w:rsidRDefault="00EF71D6">
          <w:pPr>
            <w:pStyle w:val="TOC1"/>
            <w:tabs>
              <w:tab w:val="left" w:pos="420"/>
              <w:tab w:val="right" w:leader="dot" w:pos="9350"/>
            </w:tabs>
            <w:rPr>
              <w:noProof/>
            </w:rPr>
          </w:pPr>
          <w:hyperlink w:anchor="_Toc204250351" w:history="1">
            <w:r w:rsidRPr="002A1984">
              <w:rPr>
                <w:rStyle w:val="Hyperlink"/>
                <w:noProof/>
              </w:rPr>
              <w:t>6.</w:t>
            </w:r>
            <w:r>
              <w:rPr>
                <w:noProof/>
              </w:rPr>
              <w:tab/>
            </w:r>
            <w:r w:rsidRPr="002A1984">
              <w:rPr>
                <w:rStyle w:val="Hyperlink"/>
                <w:noProof/>
              </w:rPr>
              <w:t>Conclusions and recommendations:</w:t>
            </w:r>
            <w:r>
              <w:rPr>
                <w:noProof/>
                <w:webHidden/>
              </w:rPr>
              <w:tab/>
            </w:r>
            <w:r>
              <w:rPr>
                <w:noProof/>
                <w:webHidden/>
              </w:rPr>
              <w:fldChar w:fldCharType="begin"/>
            </w:r>
            <w:r>
              <w:rPr>
                <w:noProof/>
                <w:webHidden/>
              </w:rPr>
              <w:instrText xml:space="preserve"> PAGEREF _Toc204250351 \h </w:instrText>
            </w:r>
            <w:r>
              <w:rPr>
                <w:noProof/>
                <w:webHidden/>
              </w:rPr>
            </w:r>
            <w:r>
              <w:rPr>
                <w:noProof/>
                <w:webHidden/>
              </w:rPr>
              <w:fldChar w:fldCharType="separate"/>
            </w:r>
            <w:r w:rsidR="00D85F08">
              <w:rPr>
                <w:noProof/>
                <w:webHidden/>
              </w:rPr>
              <w:t>26</w:t>
            </w:r>
            <w:r>
              <w:rPr>
                <w:noProof/>
                <w:webHidden/>
              </w:rPr>
              <w:fldChar w:fldCharType="end"/>
            </w:r>
          </w:hyperlink>
        </w:p>
        <w:p w14:paraId="797A39C8" w14:textId="77DC0891" w:rsidR="00EF71D6" w:rsidRDefault="00EF71D6">
          <w:pPr>
            <w:pStyle w:val="TOC2"/>
            <w:tabs>
              <w:tab w:val="right" w:leader="dot" w:pos="9350"/>
            </w:tabs>
            <w:ind w:left="480"/>
            <w:rPr>
              <w:noProof/>
            </w:rPr>
          </w:pPr>
          <w:hyperlink w:anchor="_Toc204250352" w:history="1">
            <w:r w:rsidRPr="002A1984">
              <w:rPr>
                <w:rStyle w:val="Hyperlink"/>
                <w:noProof/>
              </w:rPr>
              <w:t>6.1 Summary of Key Findings</w:t>
            </w:r>
            <w:r>
              <w:rPr>
                <w:noProof/>
                <w:webHidden/>
              </w:rPr>
              <w:tab/>
            </w:r>
            <w:r>
              <w:rPr>
                <w:noProof/>
                <w:webHidden/>
              </w:rPr>
              <w:fldChar w:fldCharType="begin"/>
            </w:r>
            <w:r>
              <w:rPr>
                <w:noProof/>
                <w:webHidden/>
              </w:rPr>
              <w:instrText xml:space="preserve"> PAGEREF _Toc204250352 \h </w:instrText>
            </w:r>
            <w:r>
              <w:rPr>
                <w:noProof/>
                <w:webHidden/>
              </w:rPr>
            </w:r>
            <w:r>
              <w:rPr>
                <w:noProof/>
                <w:webHidden/>
              </w:rPr>
              <w:fldChar w:fldCharType="separate"/>
            </w:r>
            <w:r w:rsidR="00D85F08">
              <w:rPr>
                <w:noProof/>
                <w:webHidden/>
              </w:rPr>
              <w:t>26</w:t>
            </w:r>
            <w:r>
              <w:rPr>
                <w:noProof/>
                <w:webHidden/>
              </w:rPr>
              <w:fldChar w:fldCharType="end"/>
            </w:r>
          </w:hyperlink>
        </w:p>
        <w:p w14:paraId="6107ADEF" w14:textId="12D703D3" w:rsidR="00EF71D6" w:rsidRDefault="00EF71D6">
          <w:pPr>
            <w:pStyle w:val="TOC2"/>
            <w:tabs>
              <w:tab w:val="right" w:leader="dot" w:pos="9350"/>
            </w:tabs>
            <w:ind w:left="480"/>
            <w:rPr>
              <w:noProof/>
            </w:rPr>
          </w:pPr>
          <w:hyperlink w:anchor="_Toc204250353" w:history="1">
            <w:r w:rsidRPr="002A1984">
              <w:rPr>
                <w:rStyle w:val="Hyperlink"/>
                <w:noProof/>
              </w:rPr>
              <w:t>6.2 Scientific Implications</w:t>
            </w:r>
            <w:r>
              <w:rPr>
                <w:noProof/>
                <w:webHidden/>
              </w:rPr>
              <w:tab/>
            </w:r>
            <w:r>
              <w:rPr>
                <w:noProof/>
                <w:webHidden/>
              </w:rPr>
              <w:fldChar w:fldCharType="begin"/>
            </w:r>
            <w:r>
              <w:rPr>
                <w:noProof/>
                <w:webHidden/>
              </w:rPr>
              <w:instrText xml:space="preserve"> PAGEREF _Toc204250353 \h </w:instrText>
            </w:r>
            <w:r>
              <w:rPr>
                <w:noProof/>
                <w:webHidden/>
              </w:rPr>
            </w:r>
            <w:r>
              <w:rPr>
                <w:noProof/>
                <w:webHidden/>
              </w:rPr>
              <w:fldChar w:fldCharType="separate"/>
            </w:r>
            <w:r w:rsidR="00D85F08">
              <w:rPr>
                <w:noProof/>
                <w:webHidden/>
              </w:rPr>
              <w:t>27</w:t>
            </w:r>
            <w:r>
              <w:rPr>
                <w:noProof/>
                <w:webHidden/>
              </w:rPr>
              <w:fldChar w:fldCharType="end"/>
            </w:r>
          </w:hyperlink>
        </w:p>
        <w:p w14:paraId="7EA88276" w14:textId="38A30D2C" w:rsidR="00EF71D6" w:rsidRDefault="00EF71D6">
          <w:pPr>
            <w:pStyle w:val="TOC2"/>
            <w:tabs>
              <w:tab w:val="right" w:leader="dot" w:pos="9350"/>
            </w:tabs>
            <w:ind w:left="480"/>
            <w:rPr>
              <w:noProof/>
            </w:rPr>
          </w:pPr>
          <w:hyperlink w:anchor="_Toc204250354" w:history="1">
            <w:r w:rsidRPr="002A1984">
              <w:rPr>
                <w:rStyle w:val="Hyperlink"/>
                <w:noProof/>
              </w:rPr>
              <w:t>6.3 Recommendations for Future Research</w:t>
            </w:r>
            <w:r>
              <w:rPr>
                <w:noProof/>
                <w:webHidden/>
              </w:rPr>
              <w:tab/>
            </w:r>
            <w:r>
              <w:rPr>
                <w:noProof/>
                <w:webHidden/>
              </w:rPr>
              <w:fldChar w:fldCharType="begin"/>
            </w:r>
            <w:r>
              <w:rPr>
                <w:noProof/>
                <w:webHidden/>
              </w:rPr>
              <w:instrText xml:space="preserve"> PAGEREF _Toc204250354 \h </w:instrText>
            </w:r>
            <w:r>
              <w:rPr>
                <w:noProof/>
                <w:webHidden/>
              </w:rPr>
            </w:r>
            <w:r>
              <w:rPr>
                <w:noProof/>
                <w:webHidden/>
              </w:rPr>
              <w:fldChar w:fldCharType="separate"/>
            </w:r>
            <w:r w:rsidR="00D85F08">
              <w:rPr>
                <w:noProof/>
                <w:webHidden/>
              </w:rPr>
              <w:t>27</w:t>
            </w:r>
            <w:r>
              <w:rPr>
                <w:noProof/>
                <w:webHidden/>
              </w:rPr>
              <w:fldChar w:fldCharType="end"/>
            </w:r>
          </w:hyperlink>
        </w:p>
        <w:p w14:paraId="21A1E480" w14:textId="66686CED" w:rsidR="00EF71D6" w:rsidRDefault="00EF71D6">
          <w:pPr>
            <w:pStyle w:val="TOC2"/>
            <w:tabs>
              <w:tab w:val="right" w:leader="dot" w:pos="9350"/>
            </w:tabs>
            <w:ind w:left="480"/>
            <w:rPr>
              <w:noProof/>
            </w:rPr>
          </w:pPr>
          <w:hyperlink w:anchor="_Toc204250355" w:history="1">
            <w:r w:rsidRPr="002A1984">
              <w:rPr>
                <w:rStyle w:val="Hyperlink"/>
                <w:noProof/>
              </w:rPr>
              <w:t>6.4 Challenges and Limitations</w:t>
            </w:r>
            <w:r>
              <w:rPr>
                <w:noProof/>
                <w:webHidden/>
              </w:rPr>
              <w:tab/>
            </w:r>
            <w:r>
              <w:rPr>
                <w:noProof/>
                <w:webHidden/>
              </w:rPr>
              <w:fldChar w:fldCharType="begin"/>
            </w:r>
            <w:r>
              <w:rPr>
                <w:noProof/>
                <w:webHidden/>
              </w:rPr>
              <w:instrText xml:space="preserve"> PAGEREF _Toc204250355 \h </w:instrText>
            </w:r>
            <w:r>
              <w:rPr>
                <w:noProof/>
                <w:webHidden/>
              </w:rPr>
            </w:r>
            <w:r>
              <w:rPr>
                <w:noProof/>
                <w:webHidden/>
              </w:rPr>
              <w:fldChar w:fldCharType="separate"/>
            </w:r>
            <w:r w:rsidR="00D85F08">
              <w:rPr>
                <w:noProof/>
                <w:webHidden/>
              </w:rPr>
              <w:t>27</w:t>
            </w:r>
            <w:r>
              <w:rPr>
                <w:noProof/>
                <w:webHidden/>
              </w:rPr>
              <w:fldChar w:fldCharType="end"/>
            </w:r>
          </w:hyperlink>
        </w:p>
        <w:p w14:paraId="5AC7D140" w14:textId="5AF9E2A2" w:rsidR="00EF71D6" w:rsidRDefault="00EF71D6">
          <w:pPr>
            <w:pStyle w:val="TOC1"/>
            <w:tabs>
              <w:tab w:val="left" w:pos="420"/>
              <w:tab w:val="right" w:leader="dot" w:pos="9350"/>
            </w:tabs>
            <w:rPr>
              <w:noProof/>
            </w:rPr>
          </w:pPr>
          <w:hyperlink w:anchor="_Toc204250356" w:history="1">
            <w:r w:rsidRPr="002A1984">
              <w:rPr>
                <w:rStyle w:val="Hyperlink"/>
                <w:noProof/>
              </w:rPr>
              <w:t>7.</w:t>
            </w:r>
            <w:r>
              <w:rPr>
                <w:noProof/>
              </w:rPr>
              <w:tab/>
            </w:r>
            <w:r w:rsidRPr="002A1984">
              <w:rPr>
                <w:rStyle w:val="Hyperlink"/>
                <w:noProof/>
              </w:rPr>
              <w:t>Practical application/impact on transportation infrastructure:</w:t>
            </w:r>
            <w:r>
              <w:rPr>
                <w:noProof/>
                <w:webHidden/>
              </w:rPr>
              <w:tab/>
            </w:r>
            <w:r>
              <w:rPr>
                <w:noProof/>
                <w:webHidden/>
              </w:rPr>
              <w:fldChar w:fldCharType="begin"/>
            </w:r>
            <w:r>
              <w:rPr>
                <w:noProof/>
                <w:webHidden/>
              </w:rPr>
              <w:instrText xml:space="preserve"> PAGEREF _Toc204250356 \h </w:instrText>
            </w:r>
            <w:r>
              <w:rPr>
                <w:noProof/>
                <w:webHidden/>
              </w:rPr>
            </w:r>
            <w:r>
              <w:rPr>
                <w:noProof/>
                <w:webHidden/>
              </w:rPr>
              <w:fldChar w:fldCharType="separate"/>
            </w:r>
            <w:r w:rsidR="00D85F08">
              <w:rPr>
                <w:noProof/>
                <w:webHidden/>
              </w:rPr>
              <w:t>27</w:t>
            </w:r>
            <w:r>
              <w:rPr>
                <w:noProof/>
                <w:webHidden/>
              </w:rPr>
              <w:fldChar w:fldCharType="end"/>
            </w:r>
          </w:hyperlink>
        </w:p>
        <w:p w14:paraId="3EB35A6B" w14:textId="3FA1E1CC" w:rsidR="00EF71D6" w:rsidRDefault="00EF71D6">
          <w:pPr>
            <w:pStyle w:val="TOC1"/>
            <w:tabs>
              <w:tab w:val="left" w:pos="420"/>
              <w:tab w:val="right" w:leader="dot" w:pos="9350"/>
            </w:tabs>
            <w:rPr>
              <w:noProof/>
            </w:rPr>
          </w:pPr>
          <w:hyperlink w:anchor="_Toc204250357" w:history="1">
            <w:r w:rsidRPr="002A1984">
              <w:rPr>
                <w:rStyle w:val="Hyperlink"/>
                <w:noProof/>
              </w:rPr>
              <w:t>8.</w:t>
            </w:r>
            <w:r>
              <w:rPr>
                <w:noProof/>
              </w:rPr>
              <w:tab/>
            </w:r>
            <w:r w:rsidRPr="002A1984">
              <w:rPr>
                <w:rStyle w:val="Hyperlink"/>
                <w:noProof/>
              </w:rPr>
              <w:t>References:</w:t>
            </w:r>
            <w:r>
              <w:rPr>
                <w:noProof/>
                <w:webHidden/>
              </w:rPr>
              <w:tab/>
            </w:r>
            <w:r>
              <w:rPr>
                <w:noProof/>
                <w:webHidden/>
              </w:rPr>
              <w:fldChar w:fldCharType="begin"/>
            </w:r>
            <w:r>
              <w:rPr>
                <w:noProof/>
                <w:webHidden/>
              </w:rPr>
              <w:instrText xml:space="preserve"> PAGEREF _Toc204250357 \h </w:instrText>
            </w:r>
            <w:r>
              <w:rPr>
                <w:noProof/>
                <w:webHidden/>
              </w:rPr>
            </w:r>
            <w:r>
              <w:rPr>
                <w:noProof/>
                <w:webHidden/>
              </w:rPr>
              <w:fldChar w:fldCharType="separate"/>
            </w:r>
            <w:r w:rsidR="00D85F08">
              <w:rPr>
                <w:noProof/>
                <w:webHidden/>
              </w:rPr>
              <w:t>27</w:t>
            </w:r>
            <w:r>
              <w:rPr>
                <w:noProof/>
                <w:webHidden/>
              </w:rPr>
              <w:fldChar w:fldCharType="end"/>
            </w:r>
          </w:hyperlink>
        </w:p>
        <w:p w14:paraId="66A3C338" w14:textId="14DDEECF" w:rsidR="00EF71D6" w:rsidRDefault="00EF71D6">
          <w:r>
            <w:rPr>
              <w:b/>
              <w:bCs/>
              <w:lang w:val="zh-CN"/>
            </w:rPr>
            <w:fldChar w:fldCharType="end"/>
          </w:r>
        </w:p>
      </w:sdtContent>
    </w:sdt>
    <w:p w14:paraId="65EA6B4A" w14:textId="77777777" w:rsidR="00075928" w:rsidRDefault="00075928">
      <w:pPr>
        <w:rPr>
          <w:rFonts w:ascii="Arial" w:hAnsi="Arial" w:cs="Arial"/>
          <w:sz w:val="20"/>
          <w:szCs w:val="20"/>
        </w:rPr>
      </w:pPr>
    </w:p>
    <w:p w14:paraId="65EA6B4B" w14:textId="77777777" w:rsidR="00075928" w:rsidRDefault="00075928">
      <w:pPr>
        <w:rPr>
          <w:rFonts w:ascii="Arial" w:hAnsi="Arial" w:cs="Arial"/>
          <w:b/>
          <w:bCs/>
          <w:sz w:val="20"/>
          <w:szCs w:val="20"/>
          <w:lang w:eastAsia="zh-CN"/>
        </w:rPr>
      </w:pPr>
    </w:p>
    <w:p w14:paraId="68C3493F" w14:textId="77777777" w:rsidR="00EF71D6" w:rsidRDefault="00EF71D6">
      <w:pPr>
        <w:rPr>
          <w:rFonts w:ascii="Arial" w:hAnsi="Arial" w:cs="Arial"/>
          <w:b/>
          <w:bCs/>
          <w:sz w:val="20"/>
          <w:szCs w:val="20"/>
          <w:lang w:eastAsia="zh-CN"/>
        </w:rPr>
      </w:pPr>
    </w:p>
    <w:p w14:paraId="37031EDC" w14:textId="77777777" w:rsidR="00EF71D6" w:rsidRDefault="00EF71D6">
      <w:pPr>
        <w:rPr>
          <w:rFonts w:ascii="Arial" w:hAnsi="Arial" w:cs="Arial"/>
          <w:b/>
          <w:bCs/>
          <w:sz w:val="20"/>
          <w:szCs w:val="20"/>
          <w:lang w:eastAsia="zh-CN"/>
        </w:rPr>
      </w:pPr>
    </w:p>
    <w:p w14:paraId="19BBA7B1" w14:textId="77777777" w:rsidR="00EF71D6" w:rsidRDefault="00EF71D6">
      <w:pPr>
        <w:rPr>
          <w:rFonts w:ascii="Arial" w:hAnsi="Arial" w:cs="Arial"/>
          <w:b/>
          <w:bCs/>
          <w:sz w:val="20"/>
          <w:szCs w:val="20"/>
          <w:lang w:eastAsia="zh-CN"/>
        </w:rPr>
      </w:pPr>
    </w:p>
    <w:p w14:paraId="736DF747" w14:textId="77777777" w:rsidR="00EF71D6" w:rsidRDefault="00EF71D6">
      <w:pPr>
        <w:rPr>
          <w:rFonts w:ascii="Arial" w:hAnsi="Arial" w:cs="Arial"/>
          <w:b/>
          <w:bCs/>
          <w:sz w:val="20"/>
          <w:szCs w:val="20"/>
          <w:lang w:eastAsia="zh-CN"/>
        </w:rPr>
      </w:pPr>
    </w:p>
    <w:p w14:paraId="3CEB5AF9" w14:textId="77777777" w:rsidR="00EF71D6" w:rsidRDefault="00EF71D6">
      <w:pPr>
        <w:rPr>
          <w:rFonts w:ascii="Arial" w:hAnsi="Arial" w:cs="Arial"/>
          <w:b/>
          <w:bCs/>
          <w:sz w:val="20"/>
          <w:szCs w:val="20"/>
          <w:lang w:eastAsia="zh-CN"/>
        </w:rPr>
      </w:pPr>
    </w:p>
    <w:p w14:paraId="2728AB0E" w14:textId="77777777" w:rsidR="00EF71D6" w:rsidRDefault="00EF71D6">
      <w:pPr>
        <w:rPr>
          <w:rFonts w:ascii="Arial" w:hAnsi="Arial" w:cs="Arial"/>
          <w:b/>
          <w:bCs/>
          <w:sz w:val="20"/>
          <w:szCs w:val="20"/>
          <w:lang w:eastAsia="zh-CN"/>
        </w:rPr>
      </w:pPr>
    </w:p>
    <w:p w14:paraId="7FE8B796" w14:textId="77777777" w:rsidR="00EF71D6" w:rsidRDefault="00EF71D6">
      <w:pPr>
        <w:rPr>
          <w:rFonts w:ascii="Arial" w:hAnsi="Arial" w:cs="Arial"/>
          <w:b/>
          <w:bCs/>
          <w:sz w:val="20"/>
          <w:szCs w:val="20"/>
          <w:lang w:eastAsia="zh-CN"/>
        </w:rPr>
      </w:pPr>
    </w:p>
    <w:p w14:paraId="1CCE67B8" w14:textId="77777777" w:rsidR="00EF71D6" w:rsidRDefault="00EF71D6">
      <w:pPr>
        <w:rPr>
          <w:rFonts w:ascii="Arial" w:hAnsi="Arial" w:cs="Arial"/>
          <w:b/>
          <w:bCs/>
          <w:sz w:val="20"/>
          <w:szCs w:val="20"/>
          <w:lang w:eastAsia="zh-CN"/>
        </w:rPr>
      </w:pPr>
    </w:p>
    <w:p w14:paraId="5F7E91F3" w14:textId="77777777" w:rsidR="00EF71D6" w:rsidRDefault="00EF71D6">
      <w:pPr>
        <w:rPr>
          <w:rFonts w:ascii="Arial" w:hAnsi="Arial" w:cs="Arial"/>
          <w:b/>
          <w:bCs/>
          <w:sz w:val="20"/>
          <w:szCs w:val="20"/>
          <w:lang w:eastAsia="zh-CN"/>
        </w:rPr>
      </w:pPr>
    </w:p>
    <w:p w14:paraId="5C079213" w14:textId="77777777" w:rsidR="00554218" w:rsidRDefault="00554218">
      <w:pPr>
        <w:rPr>
          <w:rFonts w:ascii="Arial" w:hAnsi="Arial" w:cs="Arial"/>
          <w:b/>
          <w:bCs/>
          <w:sz w:val="20"/>
          <w:szCs w:val="20"/>
          <w:lang w:eastAsia="zh-CN"/>
        </w:rPr>
      </w:pPr>
    </w:p>
    <w:p w14:paraId="4D5EB8A4" w14:textId="77777777" w:rsidR="00554218" w:rsidRDefault="00554218">
      <w:pPr>
        <w:rPr>
          <w:rFonts w:ascii="Arial" w:hAnsi="Arial" w:cs="Arial"/>
          <w:b/>
          <w:bCs/>
          <w:sz w:val="20"/>
          <w:szCs w:val="20"/>
          <w:lang w:eastAsia="zh-CN"/>
        </w:rPr>
      </w:pPr>
    </w:p>
    <w:p w14:paraId="65EA6B64" w14:textId="77777777" w:rsidR="00075928" w:rsidRDefault="00075928">
      <w:pPr>
        <w:rPr>
          <w:rFonts w:ascii="Arial" w:eastAsia="Times New Roman" w:hAnsi="Arial" w:cs="Arial"/>
          <w:kern w:val="0"/>
          <w:sz w:val="20"/>
          <w:szCs w:val="20"/>
          <w14:ligatures w14:val="none"/>
        </w:rPr>
      </w:pPr>
    </w:p>
    <w:p w14:paraId="65EA6B65" w14:textId="77777777" w:rsidR="00075928" w:rsidRPr="006A1E41" w:rsidRDefault="009932F3" w:rsidP="00434EEE">
      <w:pPr>
        <w:pStyle w:val="Heading1"/>
      </w:pPr>
      <w:bookmarkStart w:id="0" w:name="_Toc204250332"/>
      <w:r w:rsidRPr="006A1E41">
        <w:lastRenderedPageBreak/>
        <w:t>Problem description</w:t>
      </w:r>
      <w:bookmarkEnd w:id="0"/>
    </w:p>
    <w:p w14:paraId="65EA6B66"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Concrete structures can develop cracks during early stage curing and/or long-term aging process (Jonkers et al. 2010). These cracks can reduce load-bearing capacity and affect service life by allowing harmful substances (e.g., moisture, chloride, and sulfate ions) to penetrate the concrete and react with the reinforcements, leading to concrete spalling. This compromises durability through reinforcement corrosion and concrete degradation. Yet, due to funding limitations, it is difficult to afford the costly and labor-intensive evaluation, maintenance, and repair needed throughout the service life of structures (Vijay et al. 2017). Recent advancements in self-healing technologies, utilizing encapsulated chemicals, have garnered attention in research (Xue et al. 2020b). Although the released chemicals can fill the cracks, these materials are not usually compatible with concrete compositions. This means that the filler and the crack may have different mechanical properties and thermal expansion coefficients, and, in some cases, this incompatibility causes the existing cracks to propagate further (Xue et al. 2020a). Due to the aforementioned limitations, the biological repair technique based on microbial induced carbonate precipitation (MICP) carried out by the urease-producing bacteria has become a viable alternative (Wiktor and Jonkers 2011). This approach is advantageous over the other self-healing techniques due to its superior microcrack-filling capacity, strong bonding between filler and crack, high compatibility with concrete compositions, favorable thermal expansion, and sustainability (Choi et al. 2017). However, the byproduct of MICP (e.g., ammonium ions) can cause environmental problems. And the adverse environment inside of concrete might inhibit bacteria growth. Furthermore, crack repairing becomes more difficult using bacteria-based self-healing agents with the increase of crack width (larger than 1 mm) (Van Tittelboom et al. 2010).</w:t>
      </w:r>
    </w:p>
    <w:p w14:paraId="65EA6B67" w14:textId="77777777" w:rsidR="00075928" w:rsidRDefault="00075928">
      <w:pPr>
        <w:rPr>
          <w:rFonts w:ascii="Arial" w:eastAsia="Times New Roman" w:hAnsi="Arial" w:cs="Arial"/>
          <w:kern w:val="0"/>
          <w:sz w:val="20"/>
          <w:szCs w:val="20"/>
          <w14:ligatures w14:val="none"/>
        </w:rPr>
      </w:pPr>
    </w:p>
    <w:p w14:paraId="65EA6B68"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goal of this research is to explore the potential of fungal-induced mineral precipitation (FIMP) to heal cracks and improve durability of concrete. FIMP is a naturally occurring biomineralization process that involves metabolic activities of fungi to induce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or other mineral (e.g., calcium oxalate) precipitation (Guggiari et al. 2011). Filamentous fungi are chosen in this study due to several advantages than bacteria-mediated carbonate precipitation, including (1) fungi have enormous surface-to-volume ratio allowing the generation of more uniform carbonate precipitation for crack filling as compared to bacteria-mediated carbonate precipitation, (2) fungi have a significant higher growth rate than bacteria and can cover a large area with the extension of fungal mycelium, which helps quickly heal the wider cracks, (3) fungi have long-term self-healing ability in nutrient-poor and alkaline environments and have low manufacturing cost (i.e., fungal mycelium is self-grown), (4) fungi can turn concrete surface to hydrophobic condition and reduce its permeability (Luo et al. 2018). This research advances fungal-induced mineral precipitation for healing concrete cracks, which is closely aligned with TRANS-IPIC’S research priority area that is improving the durability of the precast concrete (PC) and extending the life of PC transportation infrastructure.</w:t>
      </w:r>
    </w:p>
    <w:p w14:paraId="65EA6B69" w14:textId="77777777" w:rsidR="00075928" w:rsidRDefault="00075928">
      <w:pPr>
        <w:rPr>
          <w:rFonts w:ascii="Arial" w:eastAsia="Times New Roman" w:hAnsi="Arial" w:cs="Arial"/>
          <w:kern w:val="0"/>
          <w:sz w:val="20"/>
          <w:szCs w:val="20"/>
          <w14:ligatures w14:val="none"/>
        </w:rPr>
      </w:pPr>
    </w:p>
    <w:p w14:paraId="65EA6B6A" w14:textId="77777777" w:rsidR="00075928" w:rsidRDefault="009932F3" w:rsidP="00434EEE">
      <w:pPr>
        <w:pStyle w:val="Heading1"/>
      </w:pPr>
      <w:bookmarkStart w:id="1" w:name="_Toc204250333"/>
      <w:r>
        <w:t>Background</w:t>
      </w:r>
      <w:bookmarkEnd w:id="1"/>
    </w:p>
    <w:p w14:paraId="65EA6B6B"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reported metabolic processes of fungi to induced mineral precipitation include organic acid oxidation, urea mineralization by ureloytic fungal strain, and nitrate assimilation (Fang et al. 2018; Hou et al. 2011). These metabolic processes create an alkaline environment (pH &gt; 7) through bio-chemical reactions. This alkaline environment shifts the chemical equilibrium of carbonate species to carbonate (CO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vertAlign w:val="superscript"/>
          <w14:ligatures w14:val="none"/>
        </w:rPr>
        <w:t>2-</w:t>
      </w:r>
      <w:r>
        <w:rPr>
          <w:rFonts w:ascii="Arial" w:eastAsia="Times New Roman" w:hAnsi="Arial" w:cs="Arial"/>
          <w:kern w:val="0"/>
          <w:sz w:val="20"/>
          <w:szCs w:val="20"/>
          <w14:ligatures w14:val="none"/>
        </w:rPr>
        <w:t>), which leads to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precipitation in the presence of Ca</w:t>
      </w:r>
      <w:r>
        <w:rPr>
          <w:rFonts w:ascii="Arial" w:eastAsia="Times New Roman" w:hAnsi="Arial" w:cs="Arial"/>
          <w:kern w:val="0"/>
          <w:sz w:val="20"/>
          <w:szCs w:val="20"/>
          <w:vertAlign w:val="superscript"/>
          <w14:ligatures w14:val="none"/>
        </w:rPr>
        <w:t>2+</w:t>
      </w:r>
      <w:r>
        <w:rPr>
          <w:rFonts w:ascii="Arial" w:eastAsia="Times New Roman" w:hAnsi="Arial" w:cs="Arial"/>
          <w:kern w:val="0"/>
          <w:sz w:val="20"/>
          <w:szCs w:val="20"/>
          <w14:ligatures w14:val="none"/>
        </w:rPr>
        <w:t xml:space="preserve"> or other minerals (Bindschedler et al. 2016). When comparing those metabolic processes regarding practical applicability, ureolytic fungi are fast-growing and can create an alkaline environment within 1 week to induce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precipitation (Li et al. 2014). While denitrifying and organic acid oxidation fungal strains involve pathogenic fungal strains and require a longer time (3 to 4 weeks) to induce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precipitation (Guggiari et al. 2011). Ureolytic fungal strains will be investigated in this project.</w:t>
      </w:r>
    </w:p>
    <w:p w14:paraId="65EA6B6C" w14:textId="77777777" w:rsidR="00075928" w:rsidRDefault="00075928">
      <w:pPr>
        <w:rPr>
          <w:rFonts w:ascii="Arial" w:eastAsia="Times New Roman" w:hAnsi="Arial" w:cs="Arial"/>
          <w:kern w:val="0"/>
          <w:sz w:val="20"/>
          <w:szCs w:val="20"/>
          <w14:ligatures w14:val="none"/>
        </w:rPr>
      </w:pPr>
    </w:p>
    <w:p w14:paraId="65EA6B6D"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Results presented by (Fang et al. 2018; Li et al. 2014) confirm that ureolytic fungal strains (Trichoderma reesei, Neurospora crassa, and Aspergillus niger) can precipitate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via urea hydrolysis as well as promote mycelium growth into a fiber network. These fungal strains secret the urease enzyme to hydrolyze urea into ammonium (NH</w:t>
      </w:r>
      <w:r>
        <w:rPr>
          <w:rFonts w:ascii="Arial" w:eastAsia="Times New Roman" w:hAnsi="Arial" w:cs="Arial"/>
          <w:kern w:val="0"/>
          <w:sz w:val="20"/>
          <w:szCs w:val="20"/>
          <w:vertAlign w:val="subscript"/>
          <w14:ligatures w14:val="none"/>
        </w:rPr>
        <w:t>4</w:t>
      </w:r>
      <w:r>
        <w:rPr>
          <w:rFonts w:ascii="Arial" w:eastAsia="Times New Roman" w:hAnsi="Arial" w:cs="Arial"/>
          <w:kern w:val="0"/>
          <w:sz w:val="20"/>
          <w:szCs w:val="20"/>
          <w:vertAlign w:val="superscript"/>
          <w14:ligatures w14:val="none"/>
        </w:rPr>
        <w:t>+</w:t>
      </w:r>
      <w:r>
        <w:rPr>
          <w:rFonts w:ascii="Arial" w:eastAsia="Times New Roman" w:hAnsi="Arial" w:cs="Arial"/>
          <w:kern w:val="0"/>
          <w:sz w:val="20"/>
          <w:szCs w:val="20"/>
          <w14:ligatures w14:val="none"/>
        </w:rPr>
        <w:t>), bicarbonate (HCO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vertAlign w:val="superscript"/>
          <w14:ligatures w14:val="none"/>
        </w:rPr>
        <w:t>-</w:t>
      </w:r>
      <w:r>
        <w:rPr>
          <w:rFonts w:ascii="Arial" w:eastAsia="Times New Roman" w:hAnsi="Arial" w:cs="Arial"/>
          <w:kern w:val="0"/>
          <w:sz w:val="20"/>
          <w:szCs w:val="20"/>
          <w14:ligatures w14:val="none"/>
        </w:rPr>
        <w:t>), and hydroxide ions (OH</w:t>
      </w:r>
      <w:r>
        <w:rPr>
          <w:rFonts w:ascii="Arial" w:eastAsia="Times New Roman" w:hAnsi="Arial" w:cs="Arial"/>
          <w:kern w:val="0"/>
          <w:sz w:val="20"/>
          <w:szCs w:val="20"/>
          <w:vertAlign w:val="superscript"/>
          <w14:ligatures w14:val="none"/>
        </w:rPr>
        <w:t>-</w:t>
      </w:r>
      <w:r>
        <w:rPr>
          <w:rFonts w:ascii="Arial" w:eastAsia="Times New Roman" w:hAnsi="Arial" w:cs="Arial"/>
          <w:kern w:val="0"/>
          <w:sz w:val="20"/>
          <w:szCs w:val="20"/>
          <w14:ligatures w14:val="none"/>
        </w:rPr>
        <w:t>), creating an alkaline environment (pH = 9 to 10). This alkaline environment shifts the chemical equilibrium of carbon dioxide to supersaturated carbonate. In the presence of calcium (Ca</w:t>
      </w:r>
      <w:r>
        <w:rPr>
          <w:rFonts w:ascii="Arial" w:eastAsia="Times New Roman" w:hAnsi="Arial" w:cs="Arial"/>
          <w:kern w:val="0"/>
          <w:sz w:val="20"/>
          <w:szCs w:val="20"/>
          <w:vertAlign w:val="superscript"/>
          <w14:ligatures w14:val="none"/>
        </w:rPr>
        <w:t>2+</w:t>
      </w:r>
      <w:r>
        <w:rPr>
          <w:rFonts w:ascii="Arial" w:eastAsia="Times New Roman" w:hAnsi="Arial" w:cs="Arial"/>
          <w:kern w:val="0"/>
          <w:sz w:val="20"/>
          <w:szCs w:val="20"/>
          <w14:ligatures w14:val="none"/>
        </w:rPr>
        <w:t>),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precipitates on mycelium </w:t>
      </w:r>
      <w:r>
        <w:rPr>
          <w:rFonts w:ascii="Arial" w:eastAsia="Times New Roman" w:hAnsi="Arial" w:cs="Arial"/>
          <w:kern w:val="0"/>
          <w:sz w:val="20"/>
          <w:szCs w:val="20"/>
          <w14:ligatures w14:val="none"/>
        </w:rPr>
        <w:lastRenderedPageBreak/>
        <w:t>cell walls serving as nucleation sites (Riding 2000). Thus, this research will utilize several of these ureloytic fungal species to heal artificial concrete cracks. There are several studies focusing on fungal-induced concrete self-healing (Luo et al. 2018; Menon et al. 2019). However, all papers studied the effect of concrete environment (i.e., high alkaline condition) on the livability of fungal mycelium. No studies have experimentally investigated the crack healing ability by fungal mycelium, which will be explored in this project.</w:t>
      </w:r>
    </w:p>
    <w:p w14:paraId="65EA6B6E" w14:textId="77777777" w:rsidR="00075928" w:rsidRDefault="00075928">
      <w:pPr>
        <w:rPr>
          <w:rFonts w:ascii="Arial" w:eastAsia="Times New Roman" w:hAnsi="Arial" w:cs="Arial"/>
          <w:kern w:val="0"/>
          <w:sz w:val="20"/>
          <w:szCs w:val="20"/>
          <w14:ligatures w14:val="none"/>
        </w:rPr>
      </w:pPr>
    </w:p>
    <w:p w14:paraId="65EA6B6F" w14:textId="77777777" w:rsidR="00075928" w:rsidRDefault="009932F3" w:rsidP="00434EEE">
      <w:pPr>
        <w:pStyle w:val="Heading1"/>
      </w:pPr>
      <w:bookmarkStart w:id="2" w:name="_Toc204250334"/>
      <w:r>
        <w:t>Research scope and objectives:</w:t>
      </w:r>
      <w:bookmarkEnd w:id="2"/>
    </w:p>
    <w:p w14:paraId="65EA6B70" w14:textId="77777777" w:rsidR="00075928" w:rsidRDefault="00075928">
      <w:pPr>
        <w:rPr>
          <w:rFonts w:ascii="Arial" w:eastAsia="Times New Roman" w:hAnsi="Arial" w:cs="Arial"/>
          <w:kern w:val="0"/>
          <w:sz w:val="20"/>
          <w:szCs w:val="20"/>
          <w14:ligatures w14:val="none"/>
        </w:rPr>
      </w:pPr>
    </w:p>
    <w:p w14:paraId="65EA6B71"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Two research objectives are proposed to advance FIMP for healing concrete cracks. Objective I is to investigate the performance of several fungal strains (e.g., their growth behavior and efficiencies of FIMP versus time)</w:t>
      </w:r>
      <w:r>
        <w:rPr>
          <w:rFonts w:ascii="Arial" w:hAnsi="Arial" w:cs="Arial"/>
          <w:color w:val="000000" w:themeColor="text1"/>
          <w:sz w:val="20"/>
          <w:szCs w:val="20"/>
          <w:lang w:eastAsia="zh-CN"/>
        </w:rPr>
        <w:t>(Seifan et al. 2016)</w:t>
      </w:r>
      <w:r>
        <w:rPr>
          <w:rFonts w:ascii="Arial" w:eastAsia="Times New Roman" w:hAnsi="Arial" w:cs="Arial"/>
          <w:color w:val="000000" w:themeColor="text1"/>
          <w:kern w:val="0"/>
          <w:sz w:val="20"/>
          <w:szCs w:val="20"/>
          <w14:ligatures w14:val="none"/>
        </w:rPr>
        <w:t>. The Objective I will help to find the optimal potential fungal strain that heal cracks in concrete in Objective II. Objective II is to assess the healing capability of the optimal fungal strain on the concrete cracks. This objective will evaluate the feasibility of fungi for healing concrete cracks, which will be compared to the capability of bacterial induced self-healing of concrete cracks</w:t>
      </w:r>
      <w:r>
        <w:rPr>
          <w:rFonts w:ascii="Arial" w:hAnsi="Arial" w:cs="Arial"/>
          <w:color w:val="000000" w:themeColor="text1"/>
          <w:kern w:val="0"/>
          <w:sz w:val="20"/>
          <w:szCs w:val="20"/>
          <w:lang w:eastAsia="zh-CN"/>
          <w14:ligatures w14:val="none"/>
        </w:rPr>
        <w:t>(Wang et al. 2014)</w:t>
      </w:r>
      <w:r>
        <w:rPr>
          <w:rFonts w:ascii="Arial" w:eastAsia="Times New Roman" w:hAnsi="Arial" w:cs="Arial"/>
          <w:color w:val="000000" w:themeColor="text1"/>
          <w:kern w:val="0"/>
          <w:sz w:val="20"/>
          <w:szCs w:val="20"/>
          <w14:ligatures w14:val="none"/>
        </w:rPr>
        <w:t>.</w:t>
      </w:r>
    </w:p>
    <w:p w14:paraId="65EA6B72" w14:textId="77777777" w:rsidR="00075928" w:rsidRDefault="00075928">
      <w:pPr>
        <w:rPr>
          <w:rFonts w:ascii="Arial" w:eastAsia="Times New Roman" w:hAnsi="Arial" w:cs="Arial"/>
          <w:color w:val="000000" w:themeColor="text1"/>
          <w:kern w:val="0"/>
          <w:sz w:val="20"/>
          <w:szCs w:val="20"/>
          <w14:ligatures w14:val="none"/>
        </w:rPr>
      </w:pPr>
    </w:p>
    <w:p w14:paraId="65EA6B73" w14:textId="77777777" w:rsidR="00075928" w:rsidRDefault="009932F3" w:rsidP="00434EEE">
      <w:pPr>
        <w:pStyle w:val="Heading1"/>
      </w:pPr>
      <w:bookmarkStart w:id="3" w:name="_Toc204250335"/>
      <w:r>
        <w:t>Research description</w:t>
      </w:r>
      <w:bookmarkEnd w:id="3"/>
    </w:p>
    <w:p w14:paraId="65EA6B74" w14:textId="77777777" w:rsidR="00075928" w:rsidRDefault="00075928">
      <w:pPr>
        <w:adjustRightInd w:val="0"/>
        <w:snapToGrid w:val="0"/>
        <w:rPr>
          <w:rFonts w:ascii="Arial" w:eastAsia="Times New Roman" w:hAnsi="Arial" w:cs="Arial"/>
          <w:i/>
          <w:iCs/>
          <w:kern w:val="0"/>
          <w:sz w:val="22"/>
          <w:szCs w:val="22"/>
          <w14:ligatures w14:val="none"/>
        </w:rPr>
      </w:pPr>
    </w:p>
    <w:p w14:paraId="65EA6B75" w14:textId="77777777" w:rsidR="00075928" w:rsidRPr="006A1E41" w:rsidRDefault="009932F3" w:rsidP="00434EEE">
      <w:pPr>
        <w:pStyle w:val="Heading2"/>
      </w:pPr>
      <w:bookmarkStart w:id="4" w:name="_Toc204250336"/>
      <w:r w:rsidRPr="006A1E41">
        <w:t>4.1.</w:t>
      </w:r>
      <w:r w:rsidRPr="00434EEE">
        <w:rPr>
          <w:rStyle w:val="Heading2Char"/>
          <w:rFonts w:eastAsia="SimSun"/>
        </w:rPr>
        <w:t xml:space="preserve"> Task 1. Comparing the performances of three fungal strains on mineral precipitation</w:t>
      </w:r>
      <w:bookmarkEnd w:id="4"/>
    </w:p>
    <w:p w14:paraId="65EA6B76" w14:textId="77777777" w:rsidR="00075928" w:rsidRDefault="00075928">
      <w:pPr>
        <w:adjustRightInd w:val="0"/>
        <w:snapToGrid w:val="0"/>
        <w:rPr>
          <w:rFonts w:ascii="Arial" w:eastAsia="Times New Roman" w:hAnsi="Arial" w:cs="Arial"/>
          <w:kern w:val="0"/>
          <w:sz w:val="20"/>
          <w:szCs w:val="20"/>
          <w14:ligatures w14:val="none"/>
        </w:rPr>
      </w:pPr>
    </w:p>
    <w:p w14:paraId="65EA6B77" w14:textId="77777777" w:rsidR="00075928" w:rsidRDefault="009932F3">
      <w:pPr>
        <w:adjustRightInd w:val="0"/>
        <w:snapToGrid w:val="0"/>
        <w:rPr>
          <w:rFonts w:ascii="Arial" w:eastAsia="Times New Roman" w:hAnsi="Arial" w:cs="Arial"/>
          <w:color w:val="000000" w:themeColor="text1"/>
          <w:kern w:val="0"/>
          <w:sz w:val="20"/>
          <w:szCs w:val="20"/>
          <w14:ligatures w14:val="none"/>
        </w:rPr>
      </w:pPr>
      <w:r>
        <w:rPr>
          <w:rFonts w:ascii="Arial" w:hAnsi="Arial" w:cs="Arial"/>
          <w:color w:val="000000" w:themeColor="text1"/>
          <w:sz w:val="20"/>
          <w:szCs w:val="20"/>
        </w:rPr>
        <w:t xml:space="preserve">The research team selected and assessed the performance of three fungal strains, </w:t>
      </w:r>
      <w:r>
        <w:rPr>
          <w:rFonts w:ascii="Arial" w:hAnsi="Arial" w:cs="Arial"/>
          <w:i/>
          <w:iCs/>
          <w:color w:val="000000" w:themeColor="text1"/>
          <w:sz w:val="20"/>
          <w:szCs w:val="20"/>
        </w:rPr>
        <w:t>Aspergillis niger</w:t>
      </w:r>
      <w:r>
        <w:rPr>
          <w:rFonts w:ascii="Arial" w:hAnsi="Arial" w:cs="Arial"/>
          <w:color w:val="000000" w:themeColor="text1"/>
          <w:sz w:val="20"/>
          <w:szCs w:val="20"/>
        </w:rPr>
        <w:t xml:space="preserve"> (ATCC 9029), </w:t>
      </w:r>
      <w:r>
        <w:rPr>
          <w:rFonts w:ascii="Arial" w:hAnsi="Arial" w:cs="Arial"/>
          <w:i/>
          <w:iCs/>
          <w:color w:val="000000" w:themeColor="text1"/>
          <w:sz w:val="20"/>
          <w:szCs w:val="20"/>
        </w:rPr>
        <w:t>Neurospora crassa</w:t>
      </w:r>
      <w:r>
        <w:rPr>
          <w:rFonts w:ascii="Arial" w:hAnsi="Arial" w:cs="Arial"/>
          <w:color w:val="000000" w:themeColor="text1"/>
          <w:sz w:val="20"/>
          <w:szCs w:val="20"/>
        </w:rPr>
        <w:t xml:space="preserve"> (FGSC 2489), and </w:t>
      </w:r>
      <w:r>
        <w:rPr>
          <w:rFonts w:ascii="Arial" w:hAnsi="Arial" w:cs="Arial"/>
          <w:i/>
          <w:iCs/>
          <w:color w:val="000000" w:themeColor="text1"/>
          <w:sz w:val="20"/>
          <w:szCs w:val="20"/>
        </w:rPr>
        <w:t>Trichoderma reesei</w:t>
      </w:r>
      <w:r>
        <w:rPr>
          <w:rFonts w:ascii="Arial" w:hAnsi="Arial" w:cs="Arial"/>
          <w:color w:val="000000" w:themeColor="text1"/>
          <w:sz w:val="20"/>
          <w:szCs w:val="20"/>
        </w:rPr>
        <w:t xml:space="preserve"> (ATCC 13631), on mineral precipitation. This task will be used to </w:t>
      </w:r>
      <w:r>
        <w:rPr>
          <w:rFonts w:ascii="Arial" w:eastAsia="Times New Roman" w:hAnsi="Arial" w:cs="Arial"/>
          <w:color w:val="000000" w:themeColor="text1"/>
          <w:kern w:val="0"/>
          <w:sz w:val="20"/>
          <w:szCs w:val="20"/>
          <w14:ligatures w14:val="none"/>
        </w:rPr>
        <w:t>find the optimal fungal strain for tests in research tasks No. 2 and 3.</w:t>
      </w:r>
    </w:p>
    <w:p w14:paraId="31BC420A" w14:textId="77777777" w:rsidR="008D6013" w:rsidRDefault="008D6013">
      <w:pPr>
        <w:adjustRightInd w:val="0"/>
        <w:snapToGrid w:val="0"/>
        <w:rPr>
          <w:rFonts w:ascii="Arial" w:hAnsi="Arial" w:cs="Arial"/>
          <w:color w:val="000000" w:themeColor="text1"/>
          <w:sz w:val="20"/>
          <w:szCs w:val="20"/>
        </w:rPr>
      </w:pPr>
    </w:p>
    <w:p w14:paraId="65EA6B78" w14:textId="77777777" w:rsidR="00075928" w:rsidRPr="006A1E41" w:rsidRDefault="009932F3" w:rsidP="00434EEE">
      <w:pPr>
        <w:pStyle w:val="Heading3"/>
      </w:pPr>
      <w:bookmarkStart w:id="5" w:name="_Toc204250337"/>
      <w:r w:rsidRPr="006A1E41">
        <w:t>4.1.1. Cultivation of three fungal strains</w:t>
      </w:r>
      <w:bookmarkEnd w:id="5"/>
    </w:p>
    <w:p w14:paraId="65EA6B79" w14:textId="77777777" w:rsidR="00075928" w:rsidRDefault="009932F3" w:rsidP="006A1E41">
      <w:pPr>
        <w:pStyle w:val="Heading4"/>
      </w:pPr>
      <w:r>
        <w:t xml:space="preserve">Three 500 mL Erlenmeyer flasks were prepared by adding 200 mL of grow media (potato dextrose broth, PDB) and a stir bar in each flask. The flask opening was sealed with aluminum foil and then autoclaved in </w:t>
      </w:r>
      <w:r w:rsidRPr="4F19BA49">
        <w:rPr>
          <w:rFonts w:eastAsiaTheme="minorEastAsia"/>
        </w:rPr>
        <w:t>Yamato Autoclave (SK101C</w:t>
      </w:r>
      <w:r>
        <w:t>) to sterilize the grow media. After sterilization, three fungal trains (obtained from the fungal stocks in the -80</w:t>
      </w:r>
      <w:r>
        <w:rPr>
          <w:vertAlign w:val="superscript"/>
        </w:rPr>
        <w:t>o</w:t>
      </w:r>
      <w:r>
        <w:t>C freezer) were inoculated into the corresponding flask in a biosafety cabinet</w:t>
      </w:r>
      <w:r w:rsidRPr="4F19BA49">
        <w:rPr>
          <w:rFonts w:eastAsiaTheme="minorEastAsia"/>
        </w:rPr>
        <w:t xml:space="preserve"> (</w:t>
      </w:r>
      <w:r>
        <w:rPr>
          <w:lang w:eastAsia="en-US"/>
        </w:rPr>
        <w:t>Thermo Scientific</w:t>
      </w:r>
      <w:r w:rsidRPr="4F19BA49">
        <w:rPr>
          <w:rFonts w:eastAsiaTheme="minorEastAsia"/>
        </w:rPr>
        <w:t xml:space="preserve"> 1300 Series A2)</w:t>
      </w:r>
      <w:r>
        <w:t xml:space="preserve">. These three flasks were then placed on the magnetic stirrer plate with a speed of 60 rpm in an incubator at 28°C for about 19 days to grow fungal strains. </w:t>
      </w:r>
    </w:p>
    <w:p w14:paraId="4187ABF6" w14:textId="77777777" w:rsidR="008D6013" w:rsidRPr="00434EEE" w:rsidRDefault="008D6013" w:rsidP="00434EEE"/>
    <w:p w14:paraId="65EA6B7A" w14:textId="77777777" w:rsidR="00075928" w:rsidRDefault="009932F3" w:rsidP="00434EEE">
      <w:pPr>
        <w:pStyle w:val="Heading3"/>
      </w:pPr>
      <w:bookmarkStart w:id="6" w:name="_Toc204250338"/>
      <w:r w:rsidRPr="4F19BA49">
        <w:t>4.1.2. Adding cementation solution to induce mineral precipitation</w:t>
      </w:r>
      <w:bookmarkEnd w:id="6"/>
    </w:p>
    <w:p w14:paraId="65EA6B7B" w14:textId="77777777" w:rsidR="00075928" w:rsidRDefault="009932F3" w:rsidP="006A1E41">
      <w:pPr>
        <w:pStyle w:val="Heading4"/>
        <w:rPr>
          <w:b/>
          <w:bCs/>
        </w:rPr>
      </w:pPr>
      <w:r>
        <w:t>The cementation solution was prepared by adding 150 mL of 1M Tris Buffer, 20 g of Urea, and 29.4 g of CaCl</w:t>
      </w:r>
      <w:r>
        <w:rPr>
          <w:vertAlign w:val="subscript"/>
        </w:rPr>
        <w:t>2</w:t>
      </w:r>
      <w:r>
        <w:t>.2H</w:t>
      </w:r>
      <w:r>
        <w:rPr>
          <w:vertAlign w:val="subscript"/>
        </w:rPr>
        <w:t>2</w:t>
      </w:r>
      <w:r>
        <w:t xml:space="preserve">O into deionized water to form 1 L solution. The pH of the solution was tuned to 6 using HCL. The cementation solution was then sterilized using the 0.22 um opening filter. After 19 days of fungal growth in the flasks, 200 mL of the cementation solution was then added into each flask to induce mineral precipitation for 7 days. </w:t>
      </w:r>
      <w:r>
        <w:rPr>
          <w:color w:val="FF0000"/>
          <w:highlight w:val="yellow"/>
        </w:rPr>
        <w:t>Figure 1</w:t>
      </w:r>
      <w:r>
        <w:t xml:space="preserve"> shows the fungal solutions after 7 days of mineral precipitation.</w:t>
      </w:r>
    </w:p>
    <w:p w14:paraId="65EA6B7C" w14:textId="77777777" w:rsidR="00075928" w:rsidRDefault="009932F3" w:rsidP="00434EEE">
      <w:pPr>
        <w:pStyle w:val="Heading4"/>
      </w:pPr>
      <w:r>
        <w:rPr>
          <w:noProof/>
        </w:rPr>
        <w:drawing>
          <wp:inline distT="0" distB="0" distL="0" distR="0" wp14:anchorId="65EA6C9F" wp14:editId="65EA6CA0">
            <wp:extent cx="3869690" cy="2160270"/>
            <wp:effectExtent l="0" t="0" r="3810" b="11430"/>
            <wp:docPr id="307392978" name="Picture 3" descr="A group of glass beakers with liquid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92978" name="Picture 3" descr="A group of glass beakers with liquid in the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t="7334" r="781" b="18836"/>
                    <a:stretch>
                      <a:fillRect/>
                    </a:stretch>
                  </pic:blipFill>
                  <pic:spPr>
                    <a:xfrm>
                      <a:off x="0" y="0"/>
                      <a:ext cx="3869690" cy="2160270"/>
                    </a:xfrm>
                    <a:prstGeom prst="rect">
                      <a:avLst/>
                    </a:prstGeom>
                    <a:noFill/>
                    <a:ln>
                      <a:noFill/>
                    </a:ln>
                  </pic:spPr>
                </pic:pic>
              </a:graphicData>
            </a:graphic>
          </wp:inline>
        </w:drawing>
      </w:r>
    </w:p>
    <w:p w14:paraId="65EA6B7D" w14:textId="77777777" w:rsidR="00075928" w:rsidRDefault="009932F3">
      <w:pPr>
        <w:pStyle w:val="ListParagraph"/>
        <w:adjustRightInd w:val="0"/>
        <w:snapToGrid w:val="0"/>
        <w:ind w:left="0"/>
        <w:contextualSpacing w:val="0"/>
        <w:jc w:val="center"/>
        <w:rPr>
          <w:rFonts w:ascii="SimSun" w:hAnsi="SimSun" w:cs="Times New Roman"/>
          <w:b/>
          <w:bCs/>
          <w:sz w:val="20"/>
          <w:szCs w:val="20"/>
        </w:rPr>
      </w:pPr>
      <w:r>
        <w:rPr>
          <w:rFonts w:ascii="Arial" w:eastAsia="Times New Roman" w:hAnsi="Arial" w:cs="Arial"/>
          <w:b/>
          <w:bCs/>
          <w:kern w:val="0"/>
          <w:sz w:val="20"/>
          <w:szCs w:val="20"/>
          <w:lang w:eastAsia="zh-CN"/>
          <w14:ligatures w14:val="none"/>
        </w:rPr>
        <w:t xml:space="preserve">Figure </w:t>
      </w:r>
      <w:r>
        <w:rPr>
          <w:rFonts w:ascii="Arial" w:hAnsi="Arial" w:cs="Arial" w:hint="eastAsia"/>
          <w:b/>
          <w:bCs/>
          <w:kern w:val="0"/>
          <w:sz w:val="20"/>
          <w:szCs w:val="20"/>
          <w:lang w:eastAsia="zh-CN"/>
          <w14:ligatures w14:val="none"/>
        </w:rPr>
        <w:t>1</w:t>
      </w:r>
      <w:r>
        <w:rPr>
          <w:rFonts w:ascii="Arial" w:eastAsia="Times New Roman" w:hAnsi="Arial" w:cs="Arial"/>
          <w:b/>
          <w:bCs/>
          <w:kern w:val="0"/>
          <w:sz w:val="20"/>
          <w:szCs w:val="20"/>
          <w:lang w:eastAsia="zh-CN"/>
          <w14:ligatures w14:val="none"/>
        </w:rPr>
        <w:t xml:space="preserve">. </w:t>
      </w:r>
      <w:r>
        <w:rPr>
          <w:rFonts w:ascii="Arial" w:hAnsi="Arial" w:cs="Arial"/>
          <w:b/>
          <w:bCs/>
          <w:kern w:val="0"/>
          <w:sz w:val="20"/>
          <w:szCs w:val="20"/>
          <w:lang w:eastAsia="zh-CN"/>
          <w14:ligatures w14:val="none"/>
        </w:rPr>
        <w:t>F</w:t>
      </w:r>
      <w:r>
        <w:rPr>
          <w:rFonts w:ascii="Arial" w:hAnsi="Arial" w:cs="Arial" w:hint="eastAsia"/>
          <w:b/>
          <w:bCs/>
          <w:kern w:val="0"/>
          <w:sz w:val="20"/>
          <w:szCs w:val="20"/>
          <w:lang w:eastAsia="zh-CN"/>
          <w14:ligatures w14:val="none"/>
        </w:rPr>
        <w:t xml:space="preserve">ungal solutions after </w:t>
      </w:r>
      <w:r>
        <w:rPr>
          <w:rFonts w:ascii="Arial" w:hAnsi="Arial" w:cs="Arial"/>
          <w:b/>
          <w:bCs/>
          <w:kern w:val="0"/>
          <w:sz w:val="20"/>
          <w:szCs w:val="20"/>
          <w:lang w:eastAsia="zh-CN"/>
          <w14:ligatures w14:val="none"/>
        </w:rPr>
        <w:t>7 days of mineral precipitation.</w:t>
      </w:r>
    </w:p>
    <w:p w14:paraId="65EA6B7E" w14:textId="77777777" w:rsidR="00075928" w:rsidRDefault="009932F3" w:rsidP="00434EEE">
      <w:pPr>
        <w:pStyle w:val="Heading3"/>
      </w:pPr>
      <w:bookmarkStart w:id="7" w:name="_Toc204250339"/>
      <w:r w:rsidRPr="4F19BA49">
        <w:lastRenderedPageBreak/>
        <w:t>4.1.3. pH and NH</w:t>
      </w:r>
      <w:r w:rsidRPr="4F19BA49">
        <w:rPr>
          <w:vertAlign w:val="subscript"/>
        </w:rPr>
        <w:t>4</w:t>
      </w:r>
      <w:r w:rsidRPr="4F19BA49">
        <w:rPr>
          <w:vertAlign w:val="superscript"/>
        </w:rPr>
        <w:t>+</w:t>
      </w:r>
      <w:r w:rsidRPr="4F19BA49">
        <w:t xml:space="preserve"> measurements</w:t>
      </w:r>
      <w:bookmarkEnd w:id="7"/>
    </w:p>
    <w:p w14:paraId="65EA6B7F" w14:textId="77777777" w:rsidR="00075928" w:rsidRDefault="009932F3" w:rsidP="006A1E41">
      <w:pPr>
        <w:pStyle w:val="Heading4"/>
        <w:rPr>
          <w:b/>
          <w:bCs/>
        </w:rPr>
      </w:pPr>
      <w:r>
        <w:t>Starting from the day when the cementation solution was added, 6 mL of the solution in each flask was extracted daily using a sterile syringe for seven consecutive days. The 6 mL extracted solution was then filtered using a 0.22 μm syringe filter to remove suspended fungal mycelium. The filtered solutions were stored in 50 mL centrifuge tubes in a -20°C freezer for pH and NH</w:t>
      </w:r>
      <w:r>
        <w:rPr>
          <w:vertAlign w:val="subscript"/>
        </w:rPr>
        <w:t>4</w:t>
      </w:r>
      <w:r>
        <w:rPr>
          <w:vertAlign w:val="superscript"/>
        </w:rPr>
        <w:t>+</w:t>
      </w:r>
      <w:r>
        <w:t xml:space="preserve"> measurements later.</w:t>
      </w:r>
    </w:p>
    <w:p w14:paraId="65EA6B80" w14:textId="77777777" w:rsidR="00075928" w:rsidRDefault="009932F3" w:rsidP="006A1E41">
      <w:pPr>
        <w:pStyle w:val="Heading4"/>
        <w:rPr>
          <w:b/>
          <w:bCs/>
        </w:rPr>
      </w:pPr>
      <w:r>
        <w:t xml:space="preserve">pH measurement: The stored 50 mL centrifuge tubes corresponding to different sampling date were thawed and subjected to pH measurement using a pH meter (Thermo Scientific ORION 3 STER pH Benchtop). The pH meter was first calibrated using a three-point calibration method with standard buffer solutions (pH 4.0, 7.0, and 10.0) prior to pH measurements. </w:t>
      </w:r>
    </w:p>
    <w:p w14:paraId="65EA6B81" w14:textId="77777777" w:rsidR="00075928" w:rsidRDefault="009932F3" w:rsidP="006A1E41">
      <w:pPr>
        <w:pStyle w:val="Heading4"/>
        <w:rPr>
          <w:color w:val="FF0000"/>
        </w:rPr>
      </w:pPr>
      <w:r>
        <w:t>NH</w:t>
      </w:r>
      <w:r>
        <w:rPr>
          <w:rFonts w:ascii="Cambria Math" w:hAnsi="Cambria Math" w:cs="Cambria Math"/>
        </w:rPr>
        <w:t>₄⁺</w:t>
      </w:r>
      <w:r>
        <w:t xml:space="preserve"> concentration measurement: After pH measurements, the concentration of NH</w:t>
      </w:r>
      <w:r>
        <w:rPr>
          <w:rFonts w:ascii="Cambria Math" w:hAnsi="Cambria Math" w:cs="Cambria Math"/>
        </w:rPr>
        <w:t>₄⁺</w:t>
      </w:r>
      <w:r>
        <w:t xml:space="preserve"> was measured in each collected solution using the Modified Nessler Method. First, a standard curve between true NH</w:t>
      </w:r>
      <w:r>
        <w:rPr>
          <w:rFonts w:ascii="Cambria Math" w:hAnsi="Cambria Math" w:cs="Cambria Math"/>
        </w:rPr>
        <w:t>₄</w:t>
      </w:r>
      <w:r>
        <w:rPr>
          <w:vertAlign w:val="superscript"/>
        </w:rPr>
        <w:t>+</w:t>
      </w:r>
      <w:r>
        <w:t xml:space="preserve"> concentrations (0.1, 0.3, and 0.5 mM) and measured absorbance at 425 nm using a spectrophotometer (721-VIS spectrophotometer) was developed. Then, the NH</w:t>
      </w:r>
      <w:r>
        <w:rPr>
          <w:rFonts w:ascii="Cambria Math" w:hAnsi="Cambria Math" w:cs="Cambria Math"/>
        </w:rPr>
        <w:t>₄⁺</w:t>
      </w:r>
      <w:r>
        <w:t xml:space="preserve"> concentration in each sample was measured. 2 mL of the solution was mixed with 100</w:t>
      </w:r>
      <m:oMath>
        <m:r>
          <m:rPr>
            <m:sty m:val="bi"/>
          </m:rPr>
          <w:rPr>
            <w:rFonts w:ascii="Cambria Math" w:eastAsiaTheme="minorEastAsia" w:hAnsi="Cambria Math"/>
          </w:rPr>
          <m:t>μ</m:t>
        </m:r>
      </m:oMath>
      <w:r>
        <w:t>L Nessler reagent for absorbance measurement using the spectrophotometer(Guan et al. 2012).</w:t>
      </w:r>
      <w:r>
        <w:rPr>
          <w:color w:val="FF0000"/>
        </w:rPr>
        <w:t xml:space="preserve"> </w:t>
      </w:r>
    </w:p>
    <w:p w14:paraId="30D70CC3" w14:textId="77777777" w:rsidR="008D6013" w:rsidRPr="00434EEE" w:rsidRDefault="008D6013" w:rsidP="00434EEE"/>
    <w:p w14:paraId="65EA6B82" w14:textId="77777777" w:rsidR="00075928" w:rsidRDefault="009932F3" w:rsidP="00434EEE">
      <w:pPr>
        <w:pStyle w:val="Heading3"/>
      </w:pPr>
      <w:bookmarkStart w:id="8" w:name="_Toc204250340"/>
      <w:r w:rsidRPr="4F19BA49">
        <w:t>4.1.4. SEM, EDS, and XRD analysis</w:t>
      </w:r>
      <w:bookmarkEnd w:id="8"/>
    </w:p>
    <w:p w14:paraId="65EA6B83"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After 7 days of mineral precipitation, three fungal solutions were filtered using a 500 mL vacuum filtration unit equipped with a 0.22 μm filter membrane</w:t>
      </w:r>
      <w:r>
        <w:rPr>
          <w:rFonts w:ascii="Arial" w:hAnsi="Arial" w:cs="Arial"/>
          <w:kern w:val="0"/>
          <w:sz w:val="20"/>
          <w:szCs w:val="20"/>
          <w:lang w:eastAsia="zh-CN"/>
          <w14:ligatures w14:val="none"/>
        </w:rPr>
        <w:t xml:space="preserve"> (Fisherbrand 500 mL Bottle Top Filter) to collect fungal mycelia and precipitated mineral material on the filter</w:t>
      </w:r>
      <w:r>
        <w:rPr>
          <w:rFonts w:ascii="Arial" w:eastAsia="Times New Roman" w:hAnsi="Arial" w:cs="Arial"/>
          <w:kern w:val="0"/>
          <w:sz w:val="20"/>
          <w:szCs w:val="20"/>
          <w14:ligatures w14:val="none"/>
        </w:rPr>
        <w:t xml:space="preserve">. During filtration, additional </w:t>
      </w:r>
      <w:r>
        <w:rPr>
          <w:rFonts w:ascii="Arial" w:hAnsi="Arial" w:cs="Arial"/>
          <w:kern w:val="0"/>
          <w:sz w:val="20"/>
          <w:szCs w:val="20"/>
          <w:lang w:eastAsia="zh-CN"/>
          <w14:ligatures w14:val="none"/>
        </w:rPr>
        <w:t>250</w:t>
      </w:r>
      <w:r>
        <w:rPr>
          <w:rFonts w:ascii="Arial" w:eastAsia="Times New Roman" w:hAnsi="Arial" w:cs="Arial"/>
          <w:kern w:val="0"/>
          <w:sz w:val="20"/>
          <w:szCs w:val="20"/>
          <w14:ligatures w14:val="none"/>
        </w:rPr>
        <w:t xml:space="preserve"> mL of deionized water was added into the filtration funnel three times to rinse the retained material on the filter membrane to remove the residual chemicals on the filter. Then, the retained materials on the filter membrane were carefully collected using a sterile spatula and transferred into sterile storage containers, which was placed in a 60°C drying oven for 48 hours to dry the samples.</w:t>
      </w:r>
    </w:p>
    <w:p w14:paraId="65EA6B84" w14:textId="77777777" w:rsidR="00075928" w:rsidRDefault="00075928">
      <w:pPr>
        <w:rPr>
          <w:rFonts w:ascii="Arial" w:eastAsia="Times New Roman" w:hAnsi="Arial" w:cs="Arial"/>
          <w:kern w:val="0"/>
          <w:sz w:val="20"/>
          <w:szCs w:val="20"/>
          <w14:ligatures w14:val="none"/>
        </w:rPr>
      </w:pPr>
    </w:p>
    <w:p w14:paraId="65EA6B85"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kern w:val="0"/>
          <w:sz w:val="20"/>
          <w:szCs w:val="20"/>
          <w14:ligatures w14:val="none"/>
        </w:rPr>
        <w:t>The samples were then used for SEM imaging and EDS analysis. Due to the non-conductive nature of the fungal mycelia samples, each fungal sample was needed to undergo an 8-minute coating process prior to SEM analysis. After coating</w:t>
      </w:r>
      <w:r>
        <w:rPr>
          <w:rFonts w:ascii="Arial" w:eastAsia="Times New Roman" w:hAnsi="Arial" w:cs="Arial"/>
          <w:kern w:val="0"/>
          <w:sz w:val="20"/>
          <w:szCs w:val="20"/>
          <w:lang w:eastAsia="zh-CN"/>
          <w14:ligatures w14:val="none"/>
        </w:rPr>
        <w:t xml:space="preserve"> </w:t>
      </w:r>
      <w:r>
        <w:rPr>
          <w:rFonts w:ascii="Arial" w:eastAsia="Times New Roman" w:hAnsi="Arial" w:cs="Arial"/>
          <w:kern w:val="0"/>
          <w:sz w:val="20"/>
          <w:szCs w:val="20"/>
          <w14:ligatures w14:val="none"/>
        </w:rPr>
        <w:t>with a thin layer of platinum</w:t>
      </w:r>
      <w:r>
        <w:rPr>
          <w:rFonts w:ascii="Arial" w:hAnsi="Arial" w:cs="Arial" w:hint="eastAsia"/>
          <w:kern w:val="0"/>
          <w:sz w:val="20"/>
          <w:szCs w:val="20"/>
          <w:lang w:eastAsia="zh-CN"/>
          <w14:ligatures w14:val="none"/>
        </w:rPr>
        <w:t xml:space="preserve"> </w:t>
      </w:r>
      <w:r>
        <w:rPr>
          <w:rFonts w:ascii="Arial" w:eastAsia="Times New Roman" w:hAnsi="Arial" w:cs="Arial"/>
          <w:kern w:val="0"/>
          <w:sz w:val="20"/>
          <w:szCs w:val="20"/>
          <w:lang w:eastAsia="zh-CN"/>
          <w14:ligatures w14:val="none"/>
        </w:rPr>
        <w:t>(E</w:t>
      </w:r>
      <w:r>
        <w:rPr>
          <w:rFonts w:ascii="Arial" w:hAnsi="Arial" w:cs="Arial"/>
          <w:kern w:val="0"/>
          <w:sz w:val="20"/>
          <w:szCs w:val="20"/>
          <w:lang w:eastAsia="zh-CN"/>
          <w14:ligatures w14:val="none"/>
        </w:rPr>
        <w:t>MS550X Sputter Coater)</w:t>
      </w:r>
      <w:r>
        <w:rPr>
          <w:rFonts w:ascii="Arial" w:eastAsia="Times New Roman" w:hAnsi="Arial" w:cs="Arial"/>
          <w:kern w:val="0"/>
          <w:sz w:val="20"/>
          <w:szCs w:val="20"/>
          <w14:ligatures w14:val="none"/>
        </w:rPr>
        <w:t xml:space="preserve">, the samples were fixed on the aluminum stubs using conductive carbon tape for SEM imaging. Then, a scanning electron microscope </w:t>
      </w:r>
      <w:r>
        <w:rPr>
          <w:rFonts w:ascii="Arial" w:hAnsi="Arial" w:cs="Arial"/>
          <w:kern w:val="0"/>
          <w:sz w:val="20"/>
          <w:szCs w:val="20"/>
          <w:lang w:eastAsia="zh-CN"/>
          <w14:ligatures w14:val="none"/>
        </w:rPr>
        <w:t>(</w:t>
      </w:r>
      <w:r>
        <w:rPr>
          <w:rFonts w:ascii="Arial" w:eastAsia="Times New Roman" w:hAnsi="Arial" w:cs="Arial"/>
          <w:kern w:val="0"/>
          <w:sz w:val="20"/>
          <w:szCs w:val="20"/>
          <w14:ligatures w14:val="none"/>
        </w:rPr>
        <w:t>Thermo</w:t>
      </w:r>
      <w:r>
        <w:rPr>
          <w:rFonts w:ascii="Arial" w:hAnsi="Arial" w:cs="Arial"/>
          <w:kern w:val="0"/>
          <w:sz w:val="20"/>
          <w:szCs w:val="20"/>
          <w:lang w:eastAsia="zh-CN"/>
          <w14:ligatures w14:val="none"/>
        </w:rPr>
        <w:t xml:space="preserve"> </w:t>
      </w:r>
      <w:r>
        <w:rPr>
          <w:rFonts w:ascii="Arial" w:eastAsia="Times New Roman" w:hAnsi="Arial" w:cs="Arial"/>
          <w:kern w:val="0"/>
          <w:sz w:val="20"/>
          <w:szCs w:val="20"/>
          <w14:ligatures w14:val="none"/>
        </w:rPr>
        <w:t>Fisher Scientific Quanta 3D FEG, S/N: D8805</w:t>
      </w:r>
      <w:r>
        <w:rPr>
          <w:rFonts w:ascii="Arial" w:hAnsi="Arial" w:cs="Arial"/>
          <w:kern w:val="0"/>
          <w:sz w:val="20"/>
          <w:szCs w:val="20"/>
          <w:lang w:eastAsia="zh-CN"/>
          <w14:ligatures w14:val="none"/>
        </w:rPr>
        <w:t>) was used for sample imaging</w:t>
      </w:r>
      <w:r>
        <w:rPr>
          <w:rFonts w:ascii="Arial" w:eastAsia="Times New Roman" w:hAnsi="Arial" w:cs="Arial"/>
          <w:kern w:val="0"/>
          <w:sz w:val="20"/>
          <w:szCs w:val="20"/>
          <w14:ligatures w14:val="none"/>
        </w:rPr>
        <w:t xml:space="preserve">. The accelerating voltage was set to </w:t>
      </w:r>
      <w:r>
        <w:rPr>
          <w:rFonts w:ascii="Arial" w:hAnsi="Arial" w:cs="Arial"/>
          <w:kern w:val="0"/>
          <w:sz w:val="20"/>
          <w:szCs w:val="20"/>
          <w:lang w:eastAsia="zh-CN"/>
          <w14:ligatures w14:val="none"/>
        </w:rPr>
        <w:t>5-20</w:t>
      </w:r>
      <w:r>
        <w:rPr>
          <w:rFonts w:ascii="Arial" w:eastAsia="Times New Roman" w:hAnsi="Arial" w:cs="Arial"/>
          <w:kern w:val="0"/>
          <w:sz w:val="20"/>
          <w:szCs w:val="20"/>
          <w14:ligatures w14:val="none"/>
        </w:rPr>
        <w:t xml:space="preserve"> kV, depending on the sample’s conductivity and resolution requirements. The microstructural features of the samples were observed and captured. During SEM imaging, EDS analysis (integrated with the SEM) was also conducted to analyze the </w:t>
      </w:r>
      <w:r>
        <w:rPr>
          <w:rFonts w:ascii="Arial" w:eastAsia="Times New Roman" w:hAnsi="Arial" w:cs="Arial"/>
          <w:color w:val="000000" w:themeColor="text1"/>
          <w:kern w:val="0"/>
          <w:sz w:val="20"/>
          <w:szCs w:val="20"/>
          <w14:ligatures w14:val="none"/>
        </w:rPr>
        <w:t xml:space="preserve">elemental compositions in the samples. The EDS spectra were taken from multiple regions of interest on the sample to investigate the distribution and types of elements present in the samples. </w:t>
      </w:r>
      <w:r>
        <w:rPr>
          <w:rFonts w:ascii="Arial" w:eastAsia="Times New Roman" w:hAnsi="Arial" w:cs="Arial"/>
          <w:kern w:val="0"/>
          <w:sz w:val="20"/>
          <w:szCs w:val="20"/>
          <w14:ligatures w14:val="none"/>
        </w:rPr>
        <w:t>The mineral compositions of the samples were also characterized using the Panalytical Empyrean X-ray diffractometer (XRD). XRD is based on the principles of emission of X-ray and Bragg's law, which provides information about crystal structures of bulk samples. The XRD scans were recorded with a Cu Kα radiation (λ=1.54 Å, 45 kV, and 40 mA) in the 2θ range from 5° to 80° with a scan rate of 4o/min.</w:t>
      </w:r>
    </w:p>
    <w:p w14:paraId="65EA6B86" w14:textId="77777777" w:rsidR="00075928" w:rsidRDefault="00075928">
      <w:pPr>
        <w:rPr>
          <w:rFonts w:ascii="Arial" w:eastAsia="Times New Roman" w:hAnsi="Arial" w:cs="Arial"/>
          <w:kern w:val="0"/>
          <w:sz w:val="20"/>
          <w:szCs w:val="20"/>
          <w14:ligatures w14:val="none"/>
        </w:rPr>
      </w:pPr>
    </w:p>
    <w:p w14:paraId="65EA6B87" w14:textId="77777777" w:rsidR="00075928" w:rsidRDefault="009932F3" w:rsidP="00434EEE">
      <w:pPr>
        <w:pStyle w:val="Heading2"/>
      </w:pPr>
      <w:bookmarkStart w:id="9" w:name="_Toc204250341"/>
      <w:r>
        <w:t>4.2. Task 2. Investigating the growth of three fungal strains on the cement mortar surface</w:t>
      </w:r>
      <w:bookmarkEnd w:id="9"/>
    </w:p>
    <w:p w14:paraId="65EA6B88" w14:textId="77777777" w:rsidR="00075928" w:rsidRDefault="00075928">
      <w:pPr>
        <w:rPr>
          <w:rFonts w:ascii="Arial" w:hAnsi="Arial" w:cs="Arial"/>
          <w:kern w:val="0"/>
          <w:sz w:val="20"/>
          <w:szCs w:val="20"/>
          <w:lang w:eastAsia="zh-CN"/>
          <w14:ligatures w14:val="none"/>
        </w:rPr>
      </w:pPr>
    </w:p>
    <w:p w14:paraId="65EA6B8A" w14:textId="543FC39C" w:rsidR="00075928" w:rsidRDefault="009932F3" w:rsidP="00434EEE">
      <w:pPr>
        <w:pStyle w:val="Heading3"/>
      </w:pPr>
      <w:bookmarkStart w:id="10" w:name="_Toc204250342"/>
      <w:r>
        <w:t>4.2.1. Sample preparation</w:t>
      </w:r>
      <w:bookmarkEnd w:id="10"/>
    </w:p>
    <w:p w14:paraId="65EA6B8B" w14:textId="77777777" w:rsidR="00075928" w:rsidRDefault="009932F3">
      <w:pPr>
        <w:rPr>
          <w:rFonts w:ascii="Arial" w:hAnsi="Arial" w:cs="Arial"/>
          <w:kern w:val="0"/>
          <w:sz w:val="20"/>
          <w:szCs w:val="20"/>
          <w:lang w:eastAsia="zh-CN"/>
          <w14:ligatures w14:val="none"/>
        </w:rPr>
      </w:pPr>
      <w:r>
        <w:rPr>
          <w:rFonts w:ascii="Arial" w:hAnsi="Arial" w:cs="Arial"/>
          <w:kern w:val="0"/>
          <w:sz w:val="20"/>
          <w:szCs w:val="20"/>
          <w:lang w:eastAsia="zh-CN"/>
          <w14:ligatures w14:val="none"/>
        </w:rPr>
        <w:t xml:space="preserve">Based on the results of Task 1, we selected two fungal strains that can precipitate calcium minerals, </w:t>
      </w:r>
      <w:r>
        <w:rPr>
          <w:rFonts w:ascii="Arial" w:hAnsi="Arial" w:cs="Arial"/>
          <w:i/>
          <w:iCs/>
          <w:kern w:val="0"/>
          <w:sz w:val="20"/>
          <w:szCs w:val="20"/>
          <w:lang w:eastAsia="zh-CN"/>
          <w14:ligatures w14:val="none"/>
        </w:rPr>
        <w:t>Aspergillis niger</w:t>
      </w:r>
      <w:r>
        <w:rPr>
          <w:rFonts w:ascii="Arial" w:hAnsi="Arial" w:cs="Arial"/>
          <w:kern w:val="0"/>
          <w:sz w:val="20"/>
          <w:szCs w:val="20"/>
          <w:lang w:eastAsia="zh-CN"/>
          <w14:ligatures w14:val="none"/>
        </w:rPr>
        <w:t xml:space="preserve"> (ATCC 9029) and </w:t>
      </w:r>
      <w:r>
        <w:rPr>
          <w:rFonts w:ascii="Arial" w:hAnsi="Arial" w:cs="Arial"/>
          <w:i/>
          <w:iCs/>
          <w:kern w:val="0"/>
          <w:sz w:val="20"/>
          <w:szCs w:val="20"/>
          <w:lang w:eastAsia="zh-CN"/>
          <w14:ligatures w14:val="none"/>
        </w:rPr>
        <w:t>Neurospora crassa</w:t>
      </w:r>
      <w:r>
        <w:rPr>
          <w:rFonts w:ascii="Arial" w:hAnsi="Arial" w:cs="Arial"/>
          <w:kern w:val="0"/>
          <w:sz w:val="20"/>
          <w:szCs w:val="20"/>
          <w:lang w:eastAsia="zh-CN"/>
          <w14:ligatures w14:val="none"/>
        </w:rPr>
        <w:t xml:space="preserve"> (FGSC 2489), for Task 2. For each fungal strain, three petri dish samples were prepared, including two petri dish samples with cement to evaluate their growth on the cement mortar surface and one petri dish sample without cement to evaluate their growth in the Potato Dextrose Broth (PDB). Another one blank petri dish sample with cement mortar and PDB was prepared to assess potential </w:t>
      </w:r>
      <w:r>
        <w:rPr>
          <w:rFonts w:ascii="Arial" w:hAnsi="Arial" w:cs="Arial"/>
          <w:color w:val="000000" w:themeColor="text1"/>
          <w:kern w:val="0"/>
          <w:sz w:val="20"/>
          <w:szCs w:val="20"/>
          <w:lang w:eastAsia="zh-CN"/>
          <w14:ligatures w14:val="none"/>
        </w:rPr>
        <w:t xml:space="preserve">contaminations. For petri dish samples with cement, a cement paste was prepared using a mass ratio of </w:t>
      </w:r>
      <w:r>
        <w:rPr>
          <w:rFonts w:ascii="Arial" w:hAnsi="Arial" w:cs="Arial"/>
          <w:color w:val="000000" w:themeColor="text1"/>
          <w:sz w:val="20"/>
          <w:szCs w:val="20"/>
          <w:lang w:eastAsia="zh-CN"/>
        </w:rPr>
        <w:t>Ordinary Portland cement (</w:t>
      </w:r>
      <w:r>
        <w:rPr>
          <w:rFonts w:ascii="Arial" w:hAnsi="Arial" w:cs="Arial"/>
          <w:color w:val="000000" w:themeColor="text1"/>
          <w:kern w:val="0"/>
          <w:sz w:val="20"/>
          <w:szCs w:val="20"/>
          <w:lang w:eastAsia="zh-CN"/>
          <w14:ligatures w14:val="none"/>
        </w:rPr>
        <w:t xml:space="preserve">OPC): </w:t>
      </w:r>
      <w:r>
        <w:rPr>
          <w:rFonts w:ascii="Arial" w:hAnsi="Arial" w:cs="Arial"/>
          <w:kern w:val="0"/>
          <w:sz w:val="20"/>
          <w:szCs w:val="20"/>
          <w:lang w:eastAsia="zh-CN"/>
          <w14:ligatures w14:val="none"/>
        </w:rPr>
        <w:t xml:space="preserve">Sand: Water = 1:1.5:0.4. The paste was poured into the sterilized petri dishes (VWR Sterilized, size: 100 × 15 mm) to reach half the height of the petri dish. The samples were then cured for 28 days at 25°C and 60% relative humidity. After the curing period, the petri dishes were sterilized using an autoclave at 121°C and </w:t>
      </w:r>
      <w:r>
        <w:rPr>
          <w:rFonts w:ascii="Arial" w:hAnsi="Arial" w:cs="Arial" w:hint="eastAsia"/>
          <w:kern w:val="0"/>
          <w:sz w:val="20"/>
          <w:szCs w:val="20"/>
          <w:lang w:eastAsia="zh-CN"/>
          <w14:ligatures w14:val="none"/>
        </w:rPr>
        <w:t>0.103MPa</w:t>
      </w:r>
      <w:r>
        <w:rPr>
          <w:rFonts w:ascii="Arial" w:hAnsi="Arial" w:cs="Arial"/>
          <w:kern w:val="0"/>
          <w:sz w:val="20"/>
          <w:szCs w:val="20"/>
          <w:lang w:eastAsia="zh-CN"/>
          <w14:ligatures w14:val="none"/>
        </w:rPr>
        <w:t xml:space="preserve"> for </w:t>
      </w:r>
      <w:r>
        <w:rPr>
          <w:rFonts w:ascii="Arial" w:hAnsi="Arial" w:cs="Arial" w:hint="eastAsia"/>
          <w:kern w:val="0"/>
          <w:sz w:val="20"/>
          <w:szCs w:val="20"/>
          <w:lang w:eastAsia="zh-CN"/>
          <w14:ligatures w14:val="none"/>
        </w:rPr>
        <w:t>30</w:t>
      </w:r>
      <w:r>
        <w:rPr>
          <w:rFonts w:ascii="Arial" w:hAnsi="Arial" w:cs="Arial"/>
          <w:kern w:val="0"/>
          <w:sz w:val="20"/>
          <w:szCs w:val="20"/>
          <w:lang w:eastAsia="zh-CN"/>
          <w14:ligatures w14:val="none"/>
        </w:rPr>
        <w:t xml:space="preserve"> minutes. The petri dishes were then allowed to cool to room temperature before being transferred into a biosafety cabinet for subsequent fungal inoculation.</w:t>
      </w:r>
    </w:p>
    <w:p w14:paraId="65EA6B8C" w14:textId="77777777" w:rsidR="00075928" w:rsidRDefault="00075928">
      <w:pPr>
        <w:rPr>
          <w:rFonts w:ascii="Arial" w:hAnsi="Arial" w:cs="Arial"/>
          <w:kern w:val="0"/>
          <w:sz w:val="20"/>
          <w:szCs w:val="20"/>
          <w:lang w:eastAsia="zh-CN"/>
          <w14:ligatures w14:val="none"/>
        </w:rPr>
      </w:pPr>
    </w:p>
    <w:p w14:paraId="65EA6B8D" w14:textId="77777777" w:rsidR="00075928" w:rsidRDefault="009932F3" w:rsidP="00434EEE">
      <w:pPr>
        <w:pStyle w:val="Heading3"/>
      </w:pPr>
      <w:bookmarkStart w:id="11" w:name="_Toc204250343"/>
      <w:r>
        <w:t>4.2.2. Fungal inoculation and cultivation</w:t>
      </w:r>
      <w:bookmarkEnd w:id="11"/>
    </w:p>
    <w:p w14:paraId="65EA6B8E" w14:textId="77777777" w:rsidR="00075928" w:rsidRDefault="009932F3">
      <w:pPr>
        <w:rPr>
          <w:rFonts w:ascii="Arial" w:hAnsi="Arial" w:cs="Arial"/>
          <w:kern w:val="0"/>
          <w:sz w:val="20"/>
          <w:szCs w:val="20"/>
          <w:lang w:eastAsia="zh-CN"/>
          <w14:ligatures w14:val="none"/>
        </w:rPr>
      </w:pPr>
      <w:r>
        <w:rPr>
          <w:rFonts w:ascii="Arial" w:hAnsi="Arial" w:cs="Arial"/>
          <w:kern w:val="0"/>
          <w:sz w:val="20"/>
          <w:szCs w:val="20"/>
          <w:lang w:eastAsia="zh-CN"/>
          <w14:ligatures w14:val="none"/>
        </w:rPr>
        <w:t>In the biosafety cabinet, 10 mL of sterilized Potato Dextrose Broth (PDB) liquid medium was added to each petri dish. The petri dish was then inoculated with 2 mL of the fungal suspension of each fungus. Aseptic conditions were maintained throughout the inoculation process to prevent contamination. Each petri dish was sealed with parafilm to allow gas exchange while preventing cross-contamination. The sealed petri dishes were incubated in an incubator at 28°C, with monitoring of the sample growth every day. The growth of fungal mycelia in the petri dishes were recorded using a camera.</w:t>
      </w:r>
    </w:p>
    <w:p w14:paraId="65EA6B8F" w14:textId="77777777" w:rsidR="00075928" w:rsidRDefault="00075928">
      <w:pPr>
        <w:rPr>
          <w:rFonts w:ascii="Arial" w:hAnsi="Arial" w:cs="Arial"/>
          <w:kern w:val="0"/>
          <w:sz w:val="20"/>
          <w:szCs w:val="20"/>
          <w:lang w:eastAsia="zh-CN"/>
          <w14:ligatures w14:val="none"/>
        </w:rPr>
      </w:pPr>
    </w:p>
    <w:p w14:paraId="65EA6B90" w14:textId="77777777" w:rsidR="00075928" w:rsidRDefault="009932F3" w:rsidP="00434EEE">
      <w:pPr>
        <w:pStyle w:val="Heading2"/>
      </w:pPr>
      <w:bookmarkStart w:id="12" w:name="_Toc204250344"/>
      <w:r>
        <w:t>4.3. Task 3. Assessing the self-healing capability of cement mortar cracks using fungal strains</w:t>
      </w:r>
      <w:bookmarkEnd w:id="12"/>
    </w:p>
    <w:p w14:paraId="65EA6B91" w14:textId="77777777" w:rsidR="00075928" w:rsidRDefault="00075928">
      <w:pPr>
        <w:rPr>
          <w:rFonts w:ascii="Arial" w:eastAsia="Times New Roman" w:hAnsi="Arial" w:cs="Arial"/>
          <w:kern w:val="0"/>
          <w:sz w:val="22"/>
          <w:szCs w:val="22"/>
          <w14:ligatures w14:val="none"/>
        </w:rPr>
      </w:pPr>
    </w:p>
    <w:p w14:paraId="65EA6B92"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research team first investigated the effect of bacteria healing ability on cement mortar cracks. Then, the effect of fungal healing ability on cement mortar cracks was evaluated, which was compared to the healing ability of bacteria. The control samples without bacteria and fungi were also prepared. </w:t>
      </w:r>
    </w:p>
    <w:p w14:paraId="65EA6B93" w14:textId="77777777" w:rsidR="00075928" w:rsidRDefault="00075928">
      <w:pPr>
        <w:rPr>
          <w:rFonts w:ascii="Arial" w:eastAsia="Times New Roman" w:hAnsi="Arial" w:cs="Arial"/>
          <w:kern w:val="0"/>
          <w:sz w:val="20"/>
          <w:szCs w:val="20"/>
          <w14:ligatures w14:val="none"/>
        </w:rPr>
      </w:pPr>
    </w:p>
    <w:p w14:paraId="65EA6B94" w14:textId="77777777" w:rsidR="00075928" w:rsidRDefault="009932F3">
      <w:pPr>
        <w:rPr>
          <w:rFonts w:ascii="Arial" w:eastAsiaTheme="minorEastAsia" w:hAnsi="Arial" w:cs="Arial"/>
          <w:kern w:val="0"/>
          <w:sz w:val="20"/>
          <w:szCs w:val="20"/>
          <w:lang w:eastAsia="zh-CN"/>
          <w14:ligatures w14:val="none"/>
        </w:rPr>
      </w:pPr>
      <w:r>
        <w:rPr>
          <w:rFonts w:ascii="Arial" w:eastAsia="Times New Roman" w:hAnsi="Arial" w:cs="Arial"/>
          <w:kern w:val="0"/>
          <w:sz w:val="20"/>
          <w:szCs w:val="20"/>
          <w14:ligatures w14:val="none"/>
        </w:rPr>
        <w:t>Cellulose-based fibers were incorporated into selected mortar samples to enhance crack bridging and provide a microbial-friendly microenvironment. These fibers not only improved the mechanical integrity of the matrix by resisting crack propagation, but also served as scaffolds that facilitated bacterial or fungal attachment and bioactivity. The fibers used in this study were commercially available cellulose fibers with an average length of 2 mm and a diameter of 18 μm, added at a volume fraction of 0.45% to ensure uniform dispersion without compromising workability.</w:t>
      </w:r>
    </w:p>
    <w:p w14:paraId="65EA6B95" w14:textId="77777777" w:rsidR="00075928" w:rsidRDefault="00075928">
      <w:pPr>
        <w:rPr>
          <w:rFonts w:ascii="Arial" w:eastAsiaTheme="minorEastAsia" w:hAnsi="Arial" w:cs="Arial"/>
          <w:kern w:val="0"/>
          <w:sz w:val="20"/>
          <w:szCs w:val="20"/>
          <w:lang w:eastAsia="zh-CN"/>
          <w14:ligatures w14:val="none"/>
        </w:rPr>
      </w:pPr>
    </w:p>
    <w:p w14:paraId="65EA6B96"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Four types of bacteria mortar samples were prepared, including untreated samples (cement mortar without fiber and bacteria, </w:t>
      </w:r>
      <w:r>
        <w:rPr>
          <w:rFonts w:ascii="Arial" w:eastAsia="Times New Roman" w:hAnsi="Arial" w:cs="Arial"/>
          <w:color w:val="000000" w:themeColor="text1"/>
          <w:kern w:val="0"/>
          <w:sz w:val="20"/>
          <w:szCs w:val="20"/>
          <w14:ligatures w14:val="none"/>
        </w:rPr>
        <w:t>20 specimens</w:t>
      </w:r>
      <w:r>
        <w:rPr>
          <w:rFonts w:ascii="Arial" w:eastAsia="Times New Roman" w:hAnsi="Arial" w:cs="Arial"/>
          <w:kern w:val="0"/>
          <w:sz w:val="20"/>
          <w:szCs w:val="20"/>
          <w14:ligatures w14:val="none"/>
        </w:rPr>
        <w:t xml:space="preserve">), fiber samples (cement mortar with fibers but without bacteria, </w:t>
      </w:r>
      <w:r>
        <w:rPr>
          <w:rFonts w:ascii="Arial" w:eastAsia="Times New Roman" w:hAnsi="Arial" w:cs="Arial"/>
          <w:color w:val="000000" w:themeColor="text1"/>
          <w:kern w:val="0"/>
          <w:sz w:val="20"/>
          <w:szCs w:val="20"/>
          <w14:ligatures w14:val="none"/>
        </w:rPr>
        <w:t>20 specimens</w:t>
      </w:r>
      <w:r>
        <w:rPr>
          <w:rFonts w:ascii="Arial" w:eastAsia="Times New Roman" w:hAnsi="Arial" w:cs="Arial"/>
          <w:kern w:val="0"/>
          <w:sz w:val="20"/>
          <w:szCs w:val="20"/>
          <w14:ligatures w14:val="none"/>
        </w:rPr>
        <w:t xml:space="preserve">), bacteria samples (cement mortar with bacteria but without fibers, </w:t>
      </w:r>
      <w:r>
        <w:rPr>
          <w:rFonts w:ascii="Arial" w:eastAsia="Times New Roman" w:hAnsi="Arial" w:cs="Arial"/>
          <w:color w:val="000000" w:themeColor="text1"/>
          <w:kern w:val="0"/>
          <w:sz w:val="20"/>
          <w:szCs w:val="20"/>
          <w14:ligatures w14:val="none"/>
        </w:rPr>
        <w:t>20 specimens</w:t>
      </w:r>
      <w:r>
        <w:rPr>
          <w:rFonts w:ascii="Arial" w:eastAsia="Times New Roman" w:hAnsi="Arial" w:cs="Arial"/>
          <w:kern w:val="0"/>
          <w:sz w:val="20"/>
          <w:szCs w:val="20"/>
          <w14:ligatures w14:val="none"/>
        </w:rPr>
        <w:t xml:space="preserve">), and fiber bacteria samples (cement mortar with bacteria and fibers, </w:t>
      </w:r>
      <w:r>
        <w:rPr>
          <w:rFonts w:ascii="Arial" w:eastAsia="Times New Roman" w:hAnsi="Arial" w:cs="Arial"/>
          <w:color w:val="000000" w:themeColor="text1"/>
          <w:kern w:val="0"/>
          <w:sz w:val="20"/>
          <w:szCs w:val="20"/>
          <w14:ligatures w14:val="none"/>
        </w:rPr>
        <w:t>20 specimens</w:t>
      </w:r>
      <w:r>
        <w:rPr>
          <w:rFonts w:ascii="Arial" w:eastAsia="Times New Roman" w:hAnsi="Arial" w:cs="Arial"/>
          <w:kern w:val="0"/>
          <w:sz w:val="20"/>
          <w:szCs w:val="20"/>
          <w14:ligatures w14:val="none"/>
        </w:rPr>
        <w:t>). These sample types will be used to evaluate the effects of fiber and bacteria on the strength and self-healing ability for cement mortar samples.</w:t>
      </w:r>
    </w:p>
    <w:p w14:paraId="65EA6B97" w14:textId="77777777" w:rsidR="00075928" w:rsidRDefault="00075928">
      <w:pPr>
        <w:rPr>
          <w:rFonts w:ascii="Arial" w:eastAsia="Times New Roman" w:hAnsi="Arial" w:cs="Arial"/>
          <w:kern w:val="0"/>
          <w:sz w:val="20"/>
          <w:szCs w:val="20"/>
          <w14:ligatures w14:val="none"/>
        </w:rPr>
      </w:pPr>
    </w:p>
    <w:p w14:paraId="65EA6B98"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Cement mortar samples treated by two types of fungi (</w:t>
      </w:r>
      <w:r>
        <w:rPr>
          <w:rFonts w:ascii="Arial" w:eastAsia="Times New Roman" w:hAnsi="Arial" w:cs="Arial"/>
          <w:i/>
          <w:iCs/>
          <w:color w:val="000000" w:themeColor="text1"/>
          <w:kern w:val="0"/>
          <w:sz w:val="20"/>
          <w:szCs w:val="20"/>
          <w14:ligatures w14:val="none"/>
        </w:rPr>
        <w:t>Neurospora crassa</w:t>
      </w:r>
      <w:r>
        <w:rPr>
          <w:rFonts w:ascii="Arial" w:eastAsia="Times New Roman" w:hAnsi="Arial" w:cs="Arial"/>
          <w:color w:val="000000" w:themeColor="text1"/>
          <w:kern w:val="0"/>
          <w:sz w:val="20"/>
          <w:szCs w:val="20"/>
          <w14:ligatures w14:val="none"/>
        </w:rPr>
        <w:t xml:space="preserve"> (FGSC 2489) and </w:t>
      </w:r>
      <w:r>
        <w:rPr>
          <w:rFonts w:ascii="Arial" w:eastAsia="Times New Roman" w:hAnsi="Arial" w:cs="Arial"/>
          <w:i/>
          <w:iCs/>
          <w:color w:val="000000" w:themeColor="text1"/>
          <w:kern w:val="0"/>
          <w:sz w:val="20"/>
          <w:szCs w:val="20"/>
          <w14:ligatures w14:val="none"/>
        </w:rPr>
        <w:t>Aspergillus niger</w:t>
      </w:r>
      <w:r>
        <w:rPr>
          <w:rFonts w:ascii="Arial" w:eastAsia="Times New Roman" w:hAnsi="Arial" w:cs="Arial"/>
          <w:color w:val="000000" w:themeColor="text1"/>
          <w:kern w:val="0"/>
          <w:sz w:val="20"/>
          <w:szCs w:val="20"/>
          <w14:ligatures w14:val="none"/>
        </w:rPr>
        <w:t xml:space="preserve"> (ATCC 9029)) were also prepared, including fungal samples (cement mortar with fungi but without fibers, 10 specimens of each fungal strain) and fiber fungal samples (cement mortar with fungi and fibers, 10 specimens of each fungal strain).</w:t>
      </w:r>
    </w:p>
    <w:p w14:paraId="2E88CA0A" w14:textId="77777777" w:rsidR="0048442C" w:rsidRDefault="0048442C">
      <w:pPr>
        <w:rPr>
          <w:rFonts w:ascii="Arial" w:eastAsia="Times New Roman" w:hAnsi="Arial" w:cs="Arial"/>
          <w:kern w:val="0"/>
          <w:sz w:val="20"/>
          <w:szCs w:val="20"/>
          <w14:ligatures w14:val="none"/>
        </w:rPr>
      </w:pPr>
    </w:p>
    <w:p w14:paraId="65EA6B99" w14:textId="77777777" w:rsidR="00075928" w:rsidRDefault="009932F3" w:rsidP="00434EEE">
      <w:pPr>
        <w:pStyle w:val="Heading3"/>
        <w:rPr>
          <w:sz w:val="22"/>
          <w:szCs w:val="22"/>
        </w:rPr>
      </w:pPr>
      <w:bookmarkStart w:id="13" w:name="_Toc204250345"/>
      <w:r w:rsidRPr="4F19BA49">
        <w:t>4.3.1. Sample Preparation Procedures</w:t>
      </w:r>
      <w:bookmarkEnd w:id="13"/>
    </w:p>
    <w:p w14:paraId="65EA6B9A"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This section describes the preparation of test specimens used in the study, including bacterial and fungal cultures, cement mortar mixing, and crack formation. All procedures were designed to ensure consistency and reproducibility across test batches.</w:t>
      </w:r>
    </w:p>
    <w:p w14:paraId="2D6C7925" w14:textId="77777777" w:rsidR="0048442C" w:rsidRDefault="0048442C">
      <w:pPr>
        <w:rPr>
          <w:rFonts w:ascii="Arial" w:eastAsia="Times New Roman" w:hAnsi="Arial" w:cs="Arial"/>
          <w:color w:val="000000" w:themeColor="text1"/>
          <w:kern w:val="0"/>
          <w:sz w:val="20"/>
          <w:szCs w:val="20"/>
          <w14:ligatures w14:val="none"/>
        </w:rPr>
      </w:pPr>
    </w:p>
    <w:p w14:paraId="65EA6B9B" w14:textId="77777777" w:rsidR="00075928" w:rsidRPr="00434EEE" w:rsidRDefault="009932F3" w:rsidP="006A1E41">
      <w:pPr>
        <w:pStyle w:val="Heading4"/>
      </w:pPr>
      <w:r w:rsidRPr="006A1E41">
        <w:t>4.3.1.1. Bacterial cultivation</w:t>
      </w:r>
    </w:p>
    <w:p w14:paraId="65EA6B9C"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To cultivate </w:t>
      </w:r>
      <w:r>
        <w:rPr>
          <w:rFonts w:ascii="Arial" w:eastAsia="Times New Roman" w:hAnsi="Arial" w:cs="Arial"/>
          <w:i/>
          <w:iCs/>
          <w:kern w:val="0"/>
          <w:sz w:val="20"/>
          <w:szCs w:val="20"/>
          <w14:ligatures w14:val="none"/>
        </w:rPr>
        <w:t>Sporosarcina pasteurii</w:t>
      </w:r>
      <w:r>
        <w:rPr>
          <w:rFonts w:ascii="Arial" w:eastAsia="Times New Roman" w:hAnsi="Arial" w:cs="Arial"/>
          <w:kern w:val="0"/>
          <w:sz w:val="20"/>
          <w:szCs w:val="20"/>
          <w14:ligatures w14:val="none"/>
        </w:rPr>
        <w:t xml:space="preserve"> (ATCC 11859) for cement mortar samples, a liquid culture method was employed. The growth medium was prepared by dissolving 10 grams of yeast extract and 5 grams of ammonium sulfate into 500 milliliters of 0.13 M Tris buffer adjusted to pH of 9. The 0.13 M Tris buffer was prepared by diluting 65 milliliters of a 1 M Tris buffer solution (made by dissolving 7.6 grams of Tris hydrochloride and 54.7 grams of Tris base in 500 milliliters of distilled water). The prepared medium was sterilized using a 0.2 µm pore size PES (polyethersulfone) membrane filter (Fisherbrand, FB12566512). </w:t>
      </w:r>
    </w:p>
    <w:p w14:paraId="65EA6B9D" w14:textId="77777777" w:rsidR="00075928" w:rsidRDefault="00075928">
      <w:pPr>
        <w:pStyle w:val="ListParagraph"/>
        <w:rPr>
          <w:rFonts w:ascii="Arial" w:eastAsia="Times New Roman" w:hAnsi="Arial" w:cs="Arial"/>
          <w:kern w:val="0"/>
          <w:sz w:val="20"/>
          <w:szCs w:val="20"/>
          <w14:ligatures w14:val="none"/>
        </w:rPr>
      </w:pPr>
    </w:p>
    <w:p w14:paraId="65EA6B9E"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kern w:val="0"/>
          <w:sz w:val="20"/>
          <w:szCs w:val="20"/>
          <w14:ligatures w14:val="none"/>
        </w:rPr>
        <w:t xml:space="preserve">After sterilization, </w:t>
      </w:r>
      <w:r>
        <w:rPr>
          <w:rFonts w:ascii="Arial" w:eastAsia="Times New Roman" w:hAnsi="Arial" w:cs="Arial"/>
          <w:i/>
          <w:iCs/>
          <w:kern w:val="0"/>
          <w:sz w:val="20"/>
          <w:szCs w:val="20"/>
          <w14:ligatures w14:val="none"/>
        </w:rPr>
        <w:t xml:space="preserve">S. pasteurii </w:t>
      </w:r>
      <w:r>
        <w:rPr>
          <w:rFonts w:ascii="Arial" w:eastAsia="Times New Roman" w:hAnsi="Arial" w:cs="Arial"/>
          <w:kern w:val="0"/>
          <w:sz w:val="20"/>
          <w:szCs w:val="20"/>
          <w14:ligatures w14:val="none"/>
        </w:rPr>
        <w:t>from the</w:t>
      </w:r>
      <w:r>
        <w:rPr>
          <w:rFonts w:ascii="Arial" w:eastAsia="Times New Roman" w:hAnsi="Arial" w:cs="Arial"/>
          <w:i/>
          <w:iCs/>
          <w:kern w:val="0"/>
          <w:sz w:val="20"/>
          <w:szCs w:val="20"/>
          <w14:ligatures w14:val="none"/>
        </w:rPr>
        <w:t xml:space="preserve"> </w:t>
      </w:r>
      <w:r>
        <w:rPr>
          <w:rFonts w:ascii="Arial" w:eastAsia="Times New Roman" w:hAnsi="Arial" w:cs="Arial"/>
          <w:kern w:val="0"/>
          <w:sz w:val="20"/>
          <w:szCs w:val="20"/>
          <w14:ligatures w14:val="none"/>
        </w:rPr>
        <w:t xml:space="preserve">stock in the -80 </w:t>
      </w:r>
      <w:r>
        <w:rPr>
          <w:rFonts w:ascii="Arial" w:eastAsia="Times New Roman" w:hAnsi="Arial" w:cs="Arial"/>
          <w:kern w:val="0"/>
          <w:sz w:val="20"/>
          <w:szCs w:val="20"/>
          <w:vertAlign w:val="superscript"/>
          <w14:ligatures w14:val="none"/>
        </w:rPr>
        <w:t>o</w:t>
      </w:r>
      <w:r>
        <w:rPr>
          <w:rFonts w:ascii="Arial" w:eastAsia="Times New Roman" w:hAnsi="Arial" w:cs="Arial"/>
          <w:kern w:val="0"/>
          <w:sz w:val="20"/>
          <w:szCs w:val="20"/>
          <w14:ligatures w14:val="none"/>
        </w:rPr>
        <w:t>C freezer was aseptically inoculated into 250-milliliter Erlenmeyer flasks containing 100 milliliters of the sterile growth medium. The flasks were incubated at 30°C with shaking at 150 revolutions per minute (rpm) to promote bacterial growth (Figure 2). Once the bacterial solution turned cloudy, it was then transferred into two 2800-milliliter Erlenmeyer flasks containing 1400 milliliters of freshly prepared sterile growth medium (Figure 2) until the optical density at 600 nm (OD</w:t>
      </w:r>
      <w:r>
        <w:rPr>
          <w:rFonts w:ascii="Arial" w:eastAsia="Times New Roman" w:hAnsi="Arial" w:cs="Arial"/>
          <w:kern w:val="0"/>
          <w:sz w:val="20"/>
          <w:szCs w:val="20"/>
          <w:vertAlign w:val="subscript"/>
          <w14:ligatures w14:val="none"/>
        </w:rPr>
        <w:t>600</w:t>
      </w:r>
      <w:r>
        <w:rPr>
          <w:rFonts w:ascii="Arial" w:eastAsia="Times New Roman" w:hAnsi="Arial" w:cs="Arial"/>
          <w:kern w:val="0"/>
          <w:sz w:val="20"/>
          <w:szCs w:val="20"/>
          <w14:ligatures w14:val="none"/>
        </w:rPr>
        <w:t>) of the solutions reached the target range of 1.2 to 1.4, indicating optimal cell density in the solution</w:t>
      </w:r>
      <w:r>
        <w:rPr>
          <w:rFonts w:ascii="Arial" w:hAnsi="Arial" w:cs="Arial" w:hint="eastAsia"/>
          <w:kern w:val="0"/>
          <w:sz w:val="20"/>
          <w:szCs w:val="20"/>
          <w:lang w:eastAsia="zh-CN"/>
          <w14:ligatures w14:val="none"/>
        </w:rPr>
        <w:t>(Achal et al. 2011)</w:t>
      </w:r>
      <w:r>
        <w:rPr>
          <w:rFonts w:ascii="Arial" w:eastAsia="Times New Roman" w:hAnsi="Arial" w:cs="Arial"/>
          <w:kern w:val="0"/>
          <w:sz w:val="20"/>
          <w:szCs w:val="20"/>
          <w14:ligatures w14:val="none"/>
        </w:rPr>
        <w:t>. Then, the 3000 milliliters of bacterial solution were centrifuged (Beckman Coulter Avanti JXN-26) (Figure 3), and the resulting bacterial pellets were stored in a 4</w:t>
      </w:r>
      <w:r>
        <w:rPr>
          <w:rFonts w:ascii="Arial" w:eastAsia="Times New Roman" w:hAnsi="Arial" w:cs="Arial"/>
          <w:kern w:val="0"/>
          <w:sz w:val="20"/>
          <w:szCs w:val="20"/>
          <w:vertAlign w:val="superscript"/>
          <w14:ligatures w14:val="none"/>
        </w:rPr>
        <w:t>o</w:t>
      </w:r>
      <w:r>
        <w:rPr>
          <w:rFonts w:ascii="Arial" w:eastAsia="Times New Roman" w:hAnsi="Arial" w:cs="Arial"/>
          <w:kern w:val="0"/>
          <w:sz w:val="20"/>
          <w:szCs w:val="20"/>
          <w14:ligatures w14:val="none"/>
        </w:rPr>
        <w:t xml:space="preserve">C </w:t>
      </w:r>
      <w:r>
        <w:rPr>
          <w:rFonts w:ascii="Arial" w:eastAsia="Times New Roman" w:hAnsi="Arial" w:cs="Arial"/>
          <w:kern w:val="0"/>
          <w:sz w:val="20"/>
          <w:szCs w:val="20"/>
          <w14:ligatures w14:val="none"/>
        </w:rPr>
        <w:lastRenderedPageBreak/>
        <w:t xml:space="preserve">fridge for future use. When it was ready for cement mortar mixing, these bacteria pellets </w:t>
      </w:r>
      <w:r>
        <w:rPr>
          <w:rFonts w:ascii="Arial" w:eastAsia="Times New Roman" w:hAnsi="Arial" w:cs="Arial"/>
          <w:color w:val="000000" w:themeColor="text1"/>
          <w:kern w:val="0"/>
          <w:sz w:val="20"/>
          <w:szCs w:val="20"/>
          <w14:ligatures w14:val="none"/>
        </w:rPr>
        <w:t xml:space="preserve">were resuspended into </w:t>
      </w:r>
      <w:r>
        <w:rPr>
          <w:rFonts w:ascii="Arial" w:eastAsia="Times New Roman" w:hAnsi="Arial" w:cs="Arial"/>
          <w:kern w:val="0"/>
          <w:sz w:val="20"/>
          <w:szCs w:val="20"/>
          <w14:ligatures w14:val="none"/>
        </w:rPr>
        <w:t>sterile growth medium</w:t>
      </w:r>
      <w:r>
        <w:rPr>
          <w:rFonts w:ascii="Arial" w:eastAsia="Times New Roman" w:hAnsi="Arial" w:cs="Arial"/>
          <w:color w:val="000000" w:themeColor="text1"/>
          <w:kern w:val="0"/>
          <w:sz w:val="20"/>
          <w:szCs w:val="20"/>
          <w14:ligatures w14:val="none"/>
        </w:rPr>
        <w:t>to obtain 700 milliliters of concentrated bacterial suspension.</w:t>
      </w:r>
    </w:p>
    <w:p w14:paraId="65EA6B9F" w14:textId="77777777" w:rsidR="00075928" w:rsidRDefault="00075928">
      <w:pPr>
        <w:pStyle w:val="ListParagraph"/>
        <w:rPr>
          <w:rFonts w:ascii="Arial" w:eastAsia="Times New Roman" w:hAnsi="Arial" w:cs="Arial"/>
          <w:kern w:val="0"/>
          <w:sz w:val="20"/>
          <w:szCs w:val="20"/>
          <w14:ligatures w14:val="none"/>
        </w:rPr>
      </w:pPr>
    </w:p>
    <w:p w14:paraId="65EA6BA0" w14:textId="77777777" w:rsidR="00075928" w:rsidRDefault="009932F3">
      <w:pPr>
        <w:adjustRightInd w:val="0"/>
        <w:snapToGrid w:val="0"/>
        <w:jc w:val="center"/>
        <w:rPr>
          <w:rFonts w:ascii="Arial" w:hAnsi="Arial" w:cs="Arial"/>
          <w:i/>
          <w:iCs/>
          <w:kern w:val="0"/>
          <w:sz w:val="20"/>
          <w:szCs w:val="20"/>
          <w14:ligatures w14:val="none"/>
        </w:rPr>
      </w:pPr>
      <w:r>
        <w:rPr>
          <w:noProof/>
          <w:sz w:val="20"/>
          <w:szCs w:val="20"/>
        </w:rPr>
        <w:drawing>
          <wp:inline distT="0" distB="0" distL="0" distR="0" wp14:anchorId="65EA6CA1" wp14:editId="65EA6CA2">
            <wp:extent cx="1619885" cy="2159635"/>
            <wp:effectExtent l="0" t="0" r="0" b="0"/>
            <wp:docPr id="2" name="图片 1" descr="已上传的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已上传的图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20000" cy="2160000"/>
                    </a:xfrm>
                    <a:prstGeom prst="rect">
                      <a:avLst/>
                    </a:prstGeom>
                    <a:noFill/>
                    <a:ln>
                      <a:noFill/>
                    </a:ln>
                  </pic:spPr>
                </pic:pic>
              </a:graphicData>
            </a:graphic>
          </wp:inline>
        </w:drawing>
      </w:r>
    </w:p>
    <w:p w14:paraId="65EA6BA1" w14:textId="77777777" w:rsidR="00075928" w:rsidRDefault="009932F3">
      <w:pPr>
        <w:tabs>
          <w:tab w:val="left" w:pos="4776"/>
        </w:tabs>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2. The cultivation of </w:t>
      </w:r>
      <w:r>
        <w:rPr>
          <w:rFonts w:ascii="Arial" w:eastAsia="Times New Roman" w:hAnsi="Arial" w:cs="Arial"/>
          <w:b/>
          <w:bCs/>
          <w:i/>
          <w:iCs/>
          <w:kern w:val="0"/>
          <w:sz w:val="20"/>
          <w:szCs w:val="20"/>
          <w:lang w:eastAsia="zh-CN"/>
          <w14:ligatures w14:val="none"/>
        </w:rPr>
        <w:t>S.pasteurii</w:t>
      </w:r>
      <w:r>
        <w:rPr>
          <w:rFonts w:ascii="Arial" w:eastAsia="Times New Roman" w:hAnsi="Arial" w:cs="Arial"/>
          <w:b/>
          <w:bCs/>
          <w:kern w:val="0"/>
          <w:sz w:val="20"/>
          <w:szCs w:val="20"/>
          <w:lang w:eastAsia="zh-CN"/>
          <w14:ligatures w14:val="none"/>
        </w:rPr>
        <w:t xml:space="preserve"> in the shaking incubator.</w:t>
      </w:r>
    </w:p>
    <w:p w14:paraId="65EA6BA2" w14:textId="77777777" w:rsidR="00075928" w:rsidRDefault="00075928">
      <w:pPr>
        <w:tabs>
          <w:tab w:val="left" w:pos="4776"/>
        </w:tabs>
        <w:jc w:val="center"/>
        <w:rPr>
          <w:rFonts w:ascii="Arial" w:hAnsi="Arial" w:cs="Arial"/>
          <w:i/>
          <w:iCs/>
          <w:kern w:val="0"/>
          <w:sz w:val="20"/>
          <w:szCs w:val="20"/>
          <w14:ligatures w14:val="none"/>
        </w:rPr>
      </w:pPr>
    </w:p>
    <w:p w14:paraId="65EA6BA3" w14:textId="77777777" w:rsidR="00075928" w:rsidRDefault="009932F3">
      <w:pPr>
        <w:tabs>
          <w:tab w:val="left" w:pos="4776"/>
        </w:tabs>
        <w:jc w:val="center"/>
        <w:rPr>
          <w:sz w:val="20"/>
          <w:szCs w:val="20"/>
        </w:rPr>
      </w:pPr>
      <w:r>
        <w:rPr>
          <w:noProof/>
          <w:sz w:val="20"/>
          <w:szCs w:val="20"/>
        </w:rPr>
        <w:drawing>
          <wp:inline distT="0" distB="0" distL="0" distR="0" wp14:anchorId="65EA6CA3" wp14:editId="65EA6CA4">
            <wp:extent cx="1619885" cy="2159635"/>
            <wp:effectExtent l="0" t="0" r="0" b="0"/>
            <wp:docPr id="374613724" name="图片 3" descr="已上传的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13724" name="图片 3" descr="已上传的图片"/>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20000" cy="2160000"/>
                    </a:xfrm>
                    <a:prstGeom prst="rect">
                      <a:avLst/>
                    </a:prstGeom>
                    <a:noFill/>
                    <a:ln>
                      <a:noFill/>
                    </a:ln>
                  </pic:spPr>
                </pic:pic>
              </a:graphicData>
            </a:graphic>
          </wp:inline>
        </w:drawing>
      </w:r>
    </w:p>
    <w:p w14:paraId="65EA6BA4" w14:textId="77777777" w:rsidR="00075928" w:rsidRDefault="009932F3">
      <w:pPr>
        <w:tabs>
          <w:tab w:val="left" w:pos="4776"/>
        </w:tabs>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3. Centrifugation to collect </w:t>
      </w:r>
      <w:r>
        <w:rPr>
          <w:rFonts w:ascii="Arial" w:eastAsia="Times New Roman" w:hAnsi="Arial" w:cs="Arial"/>
          <w:b/>
          <w:bCs/>
          <w:i/>
          <w:iCs/>
          <w:kern w:val="0"/>
          <w:sz w:val="20"/>
          <w:szCs w:val="20"/>
          <w:lang w:eastAsia="zh-CN"/>
          <w14:ligatures w14:val="none"/>
        </w:rPr>
        <w:t>S.pasteurii</w:t>
      </w:r>
      <w:r>
        <w:rPr>
          <w:rFonts w:ascii="Arial" w:eastAsia="Times New Roman" w:hAnsi="Arial" w:cs="Arial"/>
          <w:b/>
          <w:bCs/>
          <w:kern w:val="0"/>
          <w:sz w:val="20"/>
          <w:szCs w:val="20"/>
          <w:lang w:eastAsia="zh-CN"/>
          <w14:ligatures w14:val="none"/>
        </w:rPr>
        <w:t xml:space="preserve"> for cement mortar mixing.</w:t>
      </w:r>
    </w:p>
    <w:p w14:paraId="65EA6BA5" w14:textId="77777777" w:rsidR="00075928" w:rsidRDefault="00075928">
      <w:pPr>
        <w:pStyle w:val="ListParagraph"/>
        <w:rPr>
          <w:rFonts w:ascii="Arial" w:eastAsia="Times New Roman" w:hAnsi="Arial" w:cs="Arial"/>
          <w:kern w:val="0"/>
          <w:sz w:val="20"/>
          <w:szCs w:val="20"/>
          <w14:ligatures w14:val="none"/>
        </w:rPr>
      </w:pPr>
    </w:p>
    <w:p w14:paraId="65EA6BA6" w14:textId="77777777" w:rsidR="00075928" w:rsidRDefault="009932F3" w:rsidP="006A1E41">
      <w:pPr>
        <w:pStyle w:val="Heading4"/>
        <w:rPr>
          <w:b/>
          <w:bCs/>
        </w:rPr>
      </w:pPr>
      <w:r w:rsidRPr="4F19BA49">
        <w:t>4.3.1.2. Fungal cultivation procedure</w:t>
      </w:r>
    </w:p>
    <w:p w14:paraId="65EA6BA7"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Fungal cultivation was conducted using two filamentous fungal strains: </w:t>
      </w:r>
      <w:r>
        <w:rPr>
          <w:rFonts w:ascii="Arial" w:eastAsia="Times New Roman" w:hAnsi="Arial" w:cs="Arial"/>
          <w:i/>
          <w:iCs/>
          <w:kern w:val="0"/>
          <w:sz w:val="20"/>
          <w:szCs w:val="20"/>
          <w14:ligatures w14:val="none"/>
        </w:rPr>
        <w:t>Neurospora crassa</w:t>
      </w:r>
      <w:r>
        <w:rPr>
          <w:rFonts w:ascii="Arial" w:eastAsia="Times New Roman" w:hAnsi="Arial" w:cs="Arial"/>
          <w:kern w:val="0"/>
          <w:sz w:val="20"/>
          <w:szCs w:val="20"/>
          <w14:ligatures w14:val="none"/>
        </w:rPr>
        <w:t xml:space="preserve"> (FGSC 2489) and </w:t>
      </w:r>
      <w:r>
        <w:rPr>
          <w:rFonts w:ascii="Arial" w:eastAsia="Times New Roman" w:hAnsi="Arial" w:cs="Arial"/>
          <w:i/>
          <w:iCs/>
          <w:kern w:val="0"/>
          <w:sz w:val="20"/>
          <w:szCs w:val="20"/>
          <w14:ligatures w14:val="none"/>
        </w:rPr>
        <w:t>Aspergillus niger</w:t>
      </w:r>
      <w:r>
        <w:rPr>
          <w:rFonts w:ascii="Arial" w:eastAsia="Times New Roman" w:hAnsi="Arial" w:cs="Arial"/>
          <w:kern w:val="0"/>
          <w:sz w:val="20"/>
          <w:szCs w:val="20"/>
          <w14:ligatures w14:val="none"/>
        </w:rPr>
        <w:t xml:space="preserve"> (ATCC 9029). Both strains were grown in a Potato Dextrose Broth (PDB) medium (HiMedia, GM403-2.5KG), which is widely used for fungal growth. The medium was prepared by dissolving 24.0 grams of granulated PDB powder in 1000 milliliters of distilled water. The solution was mixed thoroughly and sterilized by autoclaving at 121°C and </w:t>
      </w:r>
      <w:r>
        <w:rPr>
          <w:rFonts w:ascii="Arial" w:eastAsiaTheme="minorEastAsia" w:hAnsi="Arial" w:cs="Arial" w:hint="eastAsia"/>
          <w:kern w:val="0"/>
          <w:sz w:val="20"/>
          <w:szCs w:val="20"/>
          <w:lang w:eastAsia="zh-CN"/>
          <w14:ligatures w14:val="none"/>
        </w:rPr>
        <w:t>0.103MPa</w:t>
      </w:r>
      <w:r>
        <w:rPr>
          <w:rFonts w:ascii="Arial" w:eastAsia="Times New Roman" w:hAnsi="Arial" w:cs="Arial"/>
          <w:kern w:val="0"/>
          <w:sz w:val="20"/>
          <w:szCs w:val="20"/>
          <w14:ligatures w14:val="none"/>
        </w:rPr>
        <w:t xml:space="preserve"> for 15 minutes. After cooling to room temperature, the sterile PDB medium was then used for fungal inoculation. </w:t>
      </w:r>
    </w:p>
    <w:p w14:paraId="65EA6BA8" w14:textId="77777777" w:rsidR="00075928" w:rsidRDefault="00075928">
      <w:pPr>
        <w:ind w:left="720"/>
        <w:rPr>
          <w:rFonts w:ascii="Arial" w:eastAsia="Times New Roman" w:hAnsi="Arial" w:cs="Arial"/>
          <w:kern w:val="0"/>
          <w:sz w:val="20"/>
          <w:szCs w:val="20"/>
          <w14:ligatures w14:val="none"/>
        </w:rPr>
      </w:pPr>
    </w:p>
    <w:p w14:paraId="65EA6BA9"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Each fungal strain was initially inoculated into 500-milliliter Erlenmeyer flasks, each containing 100 milliliters of sterile PDB medium. These pre-cultures were incubated at 30°C with shaking at 150 rpm for three days to promote initial mycelial growth (Figure 4). Subsequently, the fungal suspensions were transferred into the 2800-milliliter Erlenmeyer flasks containing 1400 milliliters of freshly prepared sterile PDB medium (Figure 5). The cultures were further incubated under the same conditions—30°C and 150 rpm—for an additional seven days to generate sufficient fungal biomass for cement mortar sample preparation. Upon completion of incubation, the fungal cultures were harvested by centrifugation at 19,200 rpm for 4 hours. The harvested fungal suspensions were stored in sterile containers at 4°C fridge before use. To ensure the viability and functionality of the fungi, all samples were used within 10 days after centrifuge.</w:t>
      </w:r>
    </w:p>
    <w:p w14:paraId="65EA6BAA" w14:textId="77777777" w:rsidR="00075928" w:rsidRDefault="00075928">
      <w:pPr>
        <w:rPr>
          <w:sz w:val="20"/>
          <w:szCs w:val="20"/>
        </w:rPr>
      </w:pPr>
    </w:p>
    <w:p w14:paraId="65EA6BAB" w14:textId="77777777" w:rsidR="00075928" w:rsidRDefault="009932F3">
      <w:pPr>
        <w:tabs>
          <w:tab w:val="left" w:pos="1788"/>
        </w:tabs>
        <w:jc w:val="center"/>
        <w:rPr>
          <w:sz w:val="20"/>
          <w:szCs w:val="20"/>
        </w:rPr>
      </w:pPr>
      <w:r>
        <w:rPr>
          <w:noProof/>
          <w:sz w:val="20"/>
          <w:szCs w:val="20"/>
        </w:rPr>
        <w:lastRenderedPageBreak/>
        <w:drawing>
          <wp:inline distT="0" distB="0" distL="0" distR="0" wp14:anchorId="65EA6CA5" wp14:editId="65EA6CA6">
            <wp:extent cx="3841115" cy="2159635"/>
            <wp:effectExtent l="0" t="0" r="0" b="0"/>
            <wp:docPr id="1584329275" name="图片 1" descr="A beaker with a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29275" name="图片 1" descr="A beaker with a liquid in i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841200" cy="2160000"/>
                    </a:xfrm>
                    <a:prstGeom prst="rect">
                      <a:avLst/>
                    </a:prstGeom>
                    <a:noFill/>
                  </pic:spPr>
                </pic:pic>
              </a:graphicData>
            </a:graphic>
          </wp:inline>
        </w:drawing>
      </w:r>
    </w:p>
    <w:p w14:paraId="65EA6BAC" w14:textId="77777777" w:rsidR="00075928" w:rsidRDefault="009932F3">
      <w:pPr>
        <w:tabs>
          <w:tab w:val="left" w:pos="1788"/>
        </w:tabs>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Figure </w:t>
      </w:r>
      <w:r>
        <w:rPr>
          <w:rFonts w:ascii="Arial" w:hAnsi="Arial" w:cs="Arial"/>
          <w:b/>
          <w:bCs/>
          <w:kern w:val="0"/>
          <w:sz w:val="20"/>
          <w:szCs w:val="20"/>
          <w14:ligatures w14:val="none"/>
        </w:rPr>
        <w:t>4</w:t>
      </w:r>
      <w:r>
        <w:rPr>
          <w:rFonts w:ascii="Arial" w:eastAsia="Times New Roman" w:hAnsi="Arial" w:cs="Arial"/>
          <w:b/>
          <w:bCs/>
          <w:kern w:val="0"/>
          <w:sz w:val="20"/>
          <w:szCs w:val="20"/>
          <w14:ligatures w14:val="none"/>
        </w:rPr>
        <w:t>. Growth of Fungal Strains in 500 mL Flasks.</w:t>
      </w:r>
    </w:p>
    <w:p w14:paraId="65EA6BAD" w14:textId="77777777" w:rsidR="00075928" w:rsidRDefault="00075928">
      <w:pPr>
        <w:tabs>
          <w:tab w:val="left" w:pos="1788"/>
        </w:tabs>
        <w:jc w:val="center"/>
        <w:rPr>
          <w:sz w:val="20"/>
          <w:szCs w:val="20"/>
        </w:rPr>
      </w:pPr>
    </w:p>
    <w:p w14:paraId="65EA6BAE" w14:textId="77777777" w:rsidR="00075928" w:rsidRDefault="009932F3">
      <w:pPr>
        <w:tabs>
          <w:tab w:val="left" w:pos="3540"/>
        </w:tabs>
        <w:jc w:val="center"/>
        <w:rPr>
          <w:sz w:val="20"/>
          <w:szCs w:val="20"/>
        </w:rPr>
      </w:pPr>
      <w:r>
        <w:rPr>
          <w:noProof/>
          <w:sz w:val="20"/>
          <w:szCs w:val="20"/>
        </w:rPr>
        <w:drawing>
          <wp:inline distT="0" distB="0" distL="0" distR="0" wp14:anchorId="65EA6CA7" wp14:editId="65EA6CA8">
            <wp:extent cx="3841115" cy="2159635"/>
            <wp:effectExtent l="0" t="0" r="0" b="0"/>
            <wp:docPr id="2046118510" name="图片 2" descr="A couple of glass containers with brown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18510" name="图片 2" descr="A couple of glass containers with brown liqui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41200" cy="2160000"/>
                    </a:xfrm>
                    <a:prstGeom prst="rect">
                      <a:avLst/>
                    </a:prstGeom>
                    <a:noFill/>
                  </pic:spPr>
                </pic:pic>
              </a:graphicData>
            </a:graphic>
          </wp:inline>
        </w:drawing>
      </w:r>
    </w:p>
    <w:p w14:paraId="65EA6BAF" w14:textId="77777777" w:rsidR="00075928" w:rsidRDefault="009932F3">
      <w:pPr>
        <w:tabs>
          <w:tab w:val="left" w:pos="4836"/>
        </w:tabs>
        <w:jc w:val="center"/>
        <w:rPr>
          <w:rFonts w:ascii="Arial" w:hAnsi="Arial" w:cs="Arial"/>
          <w:b/>
          <w:bCs/>
          <w:kern w:val="0"/>
          <w:sz w:val="20"/>
          <w:szCs w:val="20"/>
          <w14:ligatures w14:val="none"/>
        </w:rPr>
      </w:pPr>
      <w:r>
        <w:rPr>
          <w:rFonts w:ascii="Arial" w:eastAsia="Times New Roman" w:hAnsi="Arial" w:cs="Arial"/>
          <w:b/>
          <w:bCs/>
          <w:kern w:val="0"/>
          <w:sz w:val="20"/>
          <w:szCs w:val="20"/>
          <w14:ligatures w14:val="none"/>
        </w:rPr>
        <w:t xml:space="preserve">Figure </w:t>
      </w:r>
      <w:r>
        <w:rPr>
          <w:rFonts w:ascii="Arial" w:hAnsi="Arial" w:cs="Arial"/>
          <w:b/>
          <w:bCs/>
          <w:kern w:val="0"/>
          <w:sz w:val="20"/>
          <w:szCs w:val="20"/>
          <w14:ligatures w14:val="none"/>
        </w:rPr>
        <w:t>5</w:t>
      </w:r>
      <w:r>
        <w:rPr>
          <w:rFonts w:ascii="Arial" w:eastAsia="Times New Roman" w:hAnsi="Arial" w:cs="Arial"/>
          <w:b/>
          <w:bCs/>
          <w:kern w:val="0"/>
          <w:sz w:val="20"/>
          <w:szCs w:val="20"/>
          <w14:ligatures w14:val="none"/>
        </w:rPr>
        <w:t xml:space="preserve">. Fungal Culture of </w:t>
      </w:r>
      <w:r>
        <w:rPr>
          <w:rFonts w:ascii="Arial" w:eastAsia="Times New Roman" w:hAnsi="Arial" w:cs="Arial"/>
          <w:b/>
          <w:bCs/>
          <w:i/>
          <w:iCs/>
          <w:kern w:val="0"/>
          <w:sz w:val="20"/>
          <w:szCs w:val="20"/>
          <w14:ligatures w14:val="none"/>
        </w:rPr>
        <w:t>Neurospora crassa</w:t>
      </w:r>
      <w:r>
        <w:rPr>
          <w:rFonts w:ascii="Arial" w:eastAsia="Times New Roman" w:hAnsi="Arial" w:cs="Arial"/>
          <w:b/>
          <w:bCs/>
          <w:kern w:val="0"/>
          <w:sz w:val="20"/>
          <w:szCs w:val="20"/>
          <w14:ligatures w14:val="none"/>
        </w:rPr>
        <w:t xml:space="preserve"> and </w:t>
      </w:r>
      <w:r>
        <w:rPr>
          <w:rFonts w:ascii="Arial" w:eastAsia="Times New Roman" w:hAnsi="Arial" w:cs="Arial"/>
          <w:b/>
          <w:bCs/>
          <w:i/>
          <w:iCs/>
          <w:kern w:val="0"/>
          <w:sz w:val="20"/>
          <w:szCs w:val="20"/>
          <w14:ligatures w14:val="none"/>
        </w:rPr>
        <w:t>Aspergillus niger</w:t>
      </w:r>
      <w:r>
        <w:rPr>
          <w:rFonts w:ascii="Arial" w:eastAsia="Times New Roman" w:hAnsi="Arial" w:cs="Arial"/>
          <w:b/>
          <w:bCs/>
          <w:kern w:val="0"/>
          <w:sz w:val="20"/>
          <w:szCs w:val="20"/>
          <w14:ligatures w14:val="none"/>
        </w:rPr>
        <w:t xml:space="preserve"> in 2800-milliliter Erlenmeyer flasks</w:t>
      </w:r>
      <w:r>
        <w:rPr>
          <w:rFonts w:ascii="Arial" w:hAnsi="Arial" w:cs="Arial"/>
          <w:b/>
          <w:bCs/>
          <w:kern w:val="0"/>
          <w:sz w:val="20"/>
          <w:szCs w:val="20"/>
          <w14:ligatures w14:val="none"/>
        </w:rPr>
        <w:t>.</w:t>
      </w:r>
    </w:p>
    <w:p w14:paraId="474413B9" w14:textId="77777777" w:rsidR="0048442C" w:rsidRDefault="0048442C">
      <w:pPr>
        <w:tabs>
          <w:tab w:val="left" w:pos="4836"/>
        </w:tabs>
        <w:jc w:val="center"/>
        <w:rPr>
          <w:rFonts w:ascii="Arial" w:hAnsi="Arial" w:cs="Arial"/>
          <w:kern w:val="0"/>
          <w:sz w:val="20"/>
          <w:szCs w:val="20"/>
          <w14:ligatures w14:val="none"/>
        </w:rPr>
      </w:pPr>
    </w:p>
    <w:p w14:paraId="65EA6BB0" w14:textId="77777777" w:rsidR="00075928" w:rsidRDefault="009932F3" w:rsidP="006A1E41">
      <w:pPr>
        <w:pStyle w:val="Heading4"/>
        <w:rPr>
          <w:b/>
          <w:bCs/>
        </w:rPr>
      </w:pPr>
      <w:r w:rsidRPr="4F19BA49">
        <w:t>4.3.1.3. Cement mortar sample preparation</w:t>
      </w:r>
    </w:p>
    <w:p w14:paraId="65EA6BB1"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Cement mortar samples were prepared using a standardized mixing procedure to ensure uniformity and reproducibility across all test batches. A mass ratio of 1:1.5:0.4 for Portland cement, sand, and water, respectively, was adopted. All dry materials were weighed with high precision, maintaining a tolerance within ±0.3 grams to minimize variability. Identical containers and tools were used throughout the process to control for external variation. Mixing was conducted using a mechanical mortar mixer, where the cement and sand were first combined and mixed at low speed for 60 seconds (Figure 6). A spoon was used to manually lift any unmixed material from the bottom of the mixing pot, followed by an additional 30 seconds of low-speed mixing. Water was then added evenly over a 30-second period while mixing at medium speed, and the mixture was further mixed at medium speed for another 30 seconds.</w:t>
      </w:r>
      <w:r>
        <w:t xml:space="preserve"> </w:t>
      </w:r>
      <w:r>
        <w:rPr>
          <w:rFonts w:ascii="Arial" w:eastAsia="Times New Roman" w:hAnsi="Arial" w:cs="Arial"/>
          <w:kern w:val="0"/>
          <w:sz w:val="20"/>
          <w:szCs w:val="20"/>
          <w14:ligatures w14:val="none"/>
        </w:rPr>
        <w:t xml:space="preserve">Depending on the treatment type, the fiber incorporation process was adjusted to ensure compatibility with microbial agents and proper dispersion. For samples with dry cellulose fibers, the fibers were added directly into the mixer after the cement and sand were combined, followed by 60 seconds of high-speed mixing to ensure uniform distribution. In contrast, for samples containing wet fibers pre-loaded with microbial suspensions (bacterial or fungal), the fibers were first soaked in the respective microbial solution for five minutes prior to mixing. This fiber-liquid mixture was then added during the medium-speed stage and subsequently mixed at high speed for 60 seconds. This distinction was made to accommodate the differing physical properties of the fiber states and the preservation of microbial viability. Final homogenization was achieved by mixing at high speed for 5–6 minutes (Figure 7a). The freshly prepared mortar was poured into cylindrical molds with an inner diameter of 2 inches (50.8 mm) and a height of 4 inches (101.6 mm), which had been cleaned and sterilized prior to casting. After filling, each mold was </w:t>
      </w:r>
      <w:r>
        <w:rPr>
          <w:rFonts w:ascii="Arial" w:eastAsia="Times New Roman" w:hAnsi="Arial" w:cs="Arial"/>
          <w:kern w:val="0"/>
          <w:sz w:val="20"/>
          <w:szCs w:val="20"/>
          <w14:ligatures w14:val="none"/>
        </w:rPr>
        <w:lastRenderedPageBreak/>
        <w:t>tapped 15 to 20 times with a metal rod to remove entrapped air and improve compactness, and the surface was leveled using a metal scraper. The samples were then covered with plastic sheets and cured at 25°C and greater than 90% relative humidity for 28 days (Figure 7b and c). After curing, the specimens were demolded and stored under controlled conditions for subsequent testing and treatment (Figure 7d).</w:t>
      </w:r>
    </w:p>
    <w:p w14:paraId="65EA6BB2" w14:textId="77777777" w:rsidR="00075928" w:rsidRDefault="00075928">
      <w:pPr>
        <w:rPr>
          <w:rFonts w:ascii="Arial" w:eastAsia="Times New Roman" w:hAnsi="Arial" w:cs="Arial"/>
          <w:kern w:val="0"/>
          <w:sz w:val="20"/>
          <w:szCs w:val="20"/>
          <w14:ligatures w14:val="none"/>
        </w:rPr>
      </w:pPr>
    </w:p>
    <w:p w14:paraId="65EA6BB3" w14:textId="77777777" w:rsidR="00075928" w:rsidRDefault="009932F3">
      <w:pPr>
        <w:pStyle w:val="ListParagraph"/>
        <w:ind w:left="0"/>
        <w:jc w:val="center"/>
        <w:rPr>
          <w:rFonts w:ascii="Arial" w:hAnsi="Arial" w:cs="Arial"/>
          <w:i/>
          <w:iCs/>
          <w:kern w:val="0"/>
          <w:sz w:val="20"/>
          <w:szCs w:val="20"/>
          <w:lang w:eastAsia="zh-CN"/>
          <w14:ligatures w14:val="none"/>
        </w:rPr>
      </w:pPr>
      <w:r>
        <w:rPr>
          <w:rFonts w:ascii="Arial" w:eastAsia="Times New Roman" w:hAnsi="Arial" w:cs="Arial"/>
          <w:i/>
          <w:iCs/>
          <w:noProof/>
          <w:kern w:val="0"/>
          <w:sz w:val="20"/>
          <w:szCs w:val="20"/>
          <w14:ligatures w14:val="none"/>
        </w:rPr>
        <w:drawing>
          <wp:inline distT="0" distB="0" distL="0" distR="0" wp14:anchorId="65EA6CA9" wp14:editId="65EA6CAA">
            <wp:extent cx="1619885" cy="2159635"/>
            <wp:effectExtent l="0" t="0" r="0" b="0"/>
            <wp:docPr id="196147885" name="图片 1" descr="A hand in a glove holding a plastic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7885" name="图片 1" descr="A hand in a glove holding a plastic ba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rot="10800000">
                      <a:off x="0" y="0"/>
                      <a:ext cx="1620000" cy="2160000"/>
                    </a:xfrm>
                    <a:prstGeom prst="rect">
                      <a:avLst/>
                    </a:prstGeom>
                    <a:noFill/>
                    <a:ln>
                      <a:noFill/>
                    </a:ln>
                  </pic:spPr>
                </pic:pic>
              </a:graphicData>
            </a:graphic>
          </wp:inline>
        </w:drawing>
      </w:r>
      <w:r>
        <w:rPr>
          <w:rFonts w:ascii="Arial" w:eastAsia="Times New Roman" w:hAnsi="Arial" w:cs="Arial"/>
          <w:i/>
          <w:iCs/>
          <w:noProof/>
          <w:kern w:val="0"/>
          <w:sz w:val="20"/>
          <w:szCs w:val="20"/>
          <w14:ligatures w14:val="none"/>
        </w:rPr>
        <w:drawing>
          <wp:inline distT="0" distB="0" distL="0" distR="0" wp14:anchorId="65EA6CAB" wp14:editId="65EA6CAC">
            <wp:extent cx="2879725" cy="2159635"/>
            <wp:effectExtent l="0" t="0" r="0" b="0"/>
            <wp:docPr id="727573362" name="图片 3" descr="A person in a blue gloved hand holding a blue mix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73362" name="图片 3" descr="A person in a blue gloved hand holding a blue mix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80000" cy="2160000"/>
                    </a:xfrm>
                    <a:prstGeom prst="rect">
                      <a:avLst/>
                    </a:prstGeom>
                    <a:noFill/>
                    <a:ln>
                      <a:noFill/>
                    </a:ln>
                  </pic:spPr>
                </pic:pic>
              </a:graphicData>
            </a:graphic>
          </wp:inline>
        </w:drawing>
      </w:r>
    </w:p>
    <w:p w14:paraId="65EA6BB4" w14:textId="77777777" w:rsidR="00075928" w:rsidRDefault="009932F3">
      <w:pPr>
        <w:pStyle w:val="ListParagraph"/>
        <w:adjustRightInd w:val="0"/>
        <w:snapToGrid w:val="0"/>
        <w:ind w:left="0"/>
        <w:contextualSpacing w:val="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6. Weighing and </w:t>
      </w:r>
      <w:r>
        <w:rPr>
          <w:rFonts w:ascii="Arial" w:eastAsia="Times New Roman" w:hAnsi="Arial" w:cs="Arial" w:hint="eastAsia"/>
          <w:b/>
          <w:bCs/>
          <w:kern w:val="0"/>
          <w:sz w:val="20"/>
          <w:szCs w:val="20"/>
          <w:lang w:eastAsia="zh-CN"/>
          <w14:ligatures w14:val="none"/>
        </w:rPr>
        <w:t>mix</w:t>
      </w:r>
      <w:r>
        <w:rPr>
          <w:rFonts w:ascii="Arial" w:eastAsia="Times New Roman" w:hAnsi="Arial" w:cs="Arial"/>
          <w:b/>
          <w:bCs/>
          <w:kern w:val="0"/>
          <w:sz w:val="20"/>
          <w:szCs w:val="20"/>
          <w:lang w:eastAsia="zh-CN"/>
          <w14:ligatures w14:val="none"/>
        </w:rPr>
        <w:t>ing</w:t>
      </w:r>
      <w:r>
        <w:rPr>
          <w:rFonts w:ascii="Arial" w:eastAsia="Times New Roman" w:hAnsi="Arial" w:cs="Arial" w:hint="eastAsia"/>
          <w:b/>
          <w:bCs/>
          <w:kern w:val="0"/>
          <w:sz w:val="20"/>
          <w:szCs w:val="20"/>
          <w:lang w:eastAsia="zh-CN"/>
          <w14:ligatures w14:val="none"/>
        </w:rPr>
        <w:t xml:space="preserve"> of cement</w:t>
      </w:r>
      <w:r>
        <w:rPr>
          <w:rFonts w:ascii="Arial" w:eastAsia="Times New Roman" w:hAnsi="Arial" w:cs="Arial"/>
          <w:b/>
          <w:bCs/>
          <w:kern w:val="0"/>
          <w:sz w:val="20"/>
          <w:szCs w:val="20"/>
          <w:lang w:eastAsia="zh-CN"/>
          <w14:ligatures w14:val="none"/>
        </w:rPr>
        <w:t xml:space="preserve"> mortar samples</w:t>
      </w:r>
    </w:p>
    <w:p w14:paraId="65EA6BB5" w14:textId="77777777" w:rsidR="00075928" w:rsidRDefault="00075928">
      <w:pPr>
        <w:ind w:left="720"/>
        <w:rPr>
          <w:rFonts w:ascii="Arial" w:eastAsia="Times New Roman" w:hAnsi="Arial" w:cs="Arial"/>
          <w:kern w:val="0"/>
          <w:sz w:val="20"/>
          <w:szCs w:val="20"/>
          <w14:ligatures w14:val="none"/>
        </w:rPr>
      </w:pPr>
    </w:p>
    <w:p w14:paraId="65EA6BB6" w14:textId="77777777" w:rsidR="00075928" w:rsidRDefault="009932F3">
      <w:pP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drawing>
          <wp:inline distT="0" distB="0" distL="0" distR="0" wp14:anchorId="65EA6CAD" wp14:editId="65EA6CAE">
            <wp:extent cx="5943600" cy="1904365"/>
            <wp:effectExtent l="0" t="0" r="0" b="635"/>
            <wp:docPr id="158594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47647" name="Picture 1"/>
                    <pic:cNvPicPr>
                      <a:picLocks noChangeAspect="1"/>
                    </pic:cNvPicPr>
                  </pic:nvPicPr>
                  <pic:blipFill>
                    <a:blip r:embed="rId16"/>
                    <a:stretch>
                      <a:fillRect/>
                    </a:stretch>
                  </pic:blipFill>
                  <pic:spPr>
                    <a:xfrm>
                      <a:off x="0" y="0"/>
                      <a:ext cx="5943600" cy="1904365"/>
                    </a:xfrm>
                    <a:prstGeom prst="rect">
                      <a:avLst/>
                    </a:prstGeom>
                  </pic:spPr>
                </pic:pic>
              </a:graphicData>
            </a:graphic>
          </wp:inline>
        </w:drawing>
      </w:r>
    </w:p>
    <w:p w14:paraId="65EA6BB7" w14:textId="77777777" w:rsidR="00075928" w:rsidRDefault="009932F3">
      <w:pPr>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Figure 7. (a) Freshly mixed mortar prior to casting, (b) mortar specimens under curing, (c) labeled mortar specimens organized by group, and (d) surface condition of the cured mortar specimens.</w:t>
      </w:r>
    </w:p>
    <w:p w14:paraId="03EBA6D9" w14:textId="77777777" w:rsidR="0048442C" w:rsidRDefault="0048442C">
      <w:pPr>
        <w:jc w:val="center"/>
        <w:rPr>
          <w:rFonts w:ascii="Arial" w:eastAsia="Times New Roman" w:hAnsi="Arial" w:cs="Arial"/>
          <w:b/>
          <w:bCs/>
          <w:kern w:val="0"/>
          <w:sz w:val="20"/>
          <w:szCs w:val="20"/>
          <w14:ligatures w14:val="none"/>
        </w:rPr>
      </w:pPr>
    </w:p>
    <w:p w14:paraId="65EA6BB8" w14:textId="77777777" w:rsidR="00075928" w:rsidRDefault="009932F3" w:rsidP="006A1E41">
      <w:pPr>
        <w:pStyle w:val="Heading4"/>
        <w:rPr>
          <w:b/>
          <w:bCs/>
        </w:rPr>
      </w:pPr>
      <w:r w:rsidRPr="4F19BA49">
        <w:t>4.3.1.4 Artificial crack generation procedure</w:t>
      </w:r>
    </w:p>
    <w:p w14:paraId="65EA6BB9"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Artificial cracks were generated in cylindrical mortar specimens (2-inch diameter × 4-inch height) using the split tensile test in accordance with ASTM C496</w:t>
      </w:r>
      <w:r>
        <w:rPr>
          <w:rFonts w:ascii="Arial" w:hAnsi="Arial" w:cs="Arial" w:hint="eastAsia"/>
          <w:kern w:val="0"/>
          <w:sz w:val="20"/>
          <w:szCs w:val="20"/>
          <w:lang w:eastAsia="zh-CN"/>
          <w14:ligatures w14:val="none"/>
        </w:rPr>
        <w:t xml:space="preserve"> (Luo et al. 2015)</w:t>
      </w:r>
      <w:r>
        <w:rPr>
          <w:rFonts w:ascii="Arial" w:eastAsia="Times New Roman" w:hAnsi="Arial" w:cs="Arial"/>
          <w:kern w:val="0"/>
          <w:sz w:val="20"/>
          <w:szCs w:val="20"/>
          <w14:ligatures w14:val="none"/>
        </w:rPr>
        <w:t>. A stress-controlled mode was adopted, and the test was performed using a compression machine (Gilson AC-525MR). The loading ramp rate was set to 2.5 psi/s to maintain control over the crack development process.</w:t>
      </w:r>
      <w:r>
        <w:rPr>
          <w:rFonts w:ascii="Arial" w:hAnsi="Arial" w:cs="Arial" w:hint="eastAsia"/>
          <w:kern w:val="0"/>
          <w:sz w:val="20"/>
          <w:szCs w:val="20"/>
          <w:lang w:eastAsia="zh-CN"/>
          <w14:ligatures w14:val="none"/>
        </w:rPr>
        <w:t xml:space="preserve"> </w:t>
      </w:r>
      <w:r>
        <w:rPr>
          <w:rFonts w:ascii="Arial" w:eastAsia="Times New Roman" w:hAnsi="Arial" w:cs="Arial"/>
          <w:kern w:val="0"/>
          <w:sz w:val="20"/>
          <w:szCs w:val="20"/>
          <w14:ligatures w14:val="none"/>
        </w:rPr>
        <w:t>Preliminary trials demonstrated that applying a break rate of 79% reliably induced visible cracks without causing complete failure. Once the target break rate was reached, the loading process was automatically stopped. The resulting cracks typically propagated vertically along the axis of the cylinder and were generally through-cracks. The measured crack width ranged from 0.04 mm to 0.7 mm, depending on group. Cracked specimens were subsequently subjected to different healing treatments and tested at scheduled time points for mechanical and microstructural evaluation.</w:t>
      </w:r>
    </w:p>
    <w:p w14:paraId="65EA6BC2" w14:textId="77777777" w:rsidR="00075928" w:rsidRDefault="00075928">
      <w:pPr>
        <w:rPr>
          <w:rFonts w:ascii="Arial" w:eastAsia="Times New Roman" w:hAnsi="Arial" w:cs="Arial"/>
          <w:kern w:val="0"/>
          <w:sz w:val="20"/>
          <w:szCs w:val="20"/>
          <w14:ligatures w14:val="none"/>
        </w:rPr>
      </w:pPr>
    </w:p>
    <w:p w14:paraId="65EA6BC3" w14:textId="77777777" w:rsidR="00075928" w:rsidRDefault="009932F3">
      <w:pPr>
        <w:jc w:val="center"/>
        <w:rPr>
          <w:rFonts w:ascii="Arial" w:eastAsiaTheme="minorEastAsia" w:hAnsi="Arial" w:cs="Arial"/>
          <w:b/>
          <w:bCs/>
          <w:kern w:val="0"/>
          <w:sz w:val="20"/>
          <w:szCs w:val="20"/>
          <w:lang w:eastAsia="zh-CN"/>
          <w14:ligatures w14:val="none"/>
        </w:rPr>
      </w:pPr>
      <w:r>
        <w:rPr>
          <w:noProof/>
        </w:rPr>
        <w:lastRenderedPageBreak/>
        <w:drawing>
          <wp:anchor distT="0" distB="0" distL="118745" distR="118745" simplePos="0" relativeHeight="251658240" behindDoc="0" locked="0" layoutInCell="1" allowOverlap="1" wp14:anchorId="65EA6CAF" wp14:editId="65EA6CB0">
            <wp:simplePos x="0" y="0"/>
            <wp:positionH relativeFrom="column">
              <wp:posOffset>48260</wp:posOffset>
            </wp:positionH>
            <wp:positionV relativeFrom="paragraph">
              <wp:posOffset>73660</wp:posOffset>
            </wp:positionV>
            <wp:extent cx="5932805" cy="2557145"/>
            <wp:effectExtent l="0" t="0" r="10795" b="8255"/>
            <wp:wrapTopAndBottom/>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7"/>
                    <a:stretch>
                      <a:fillRect/>
                    </a:stretch>
                  </pic:blipFill>
                  <pic:spPr>
                    <a:xfrm>
                      <a:off x="0" y="0"/>
                      <a:ext cx="5932805" cy="2557145"/>
                    </a:xfrm>
                    <a:prstGeom prst="rect">
                      <a:avLst/>
                    </a:prstGeom>
                    <a:noFill/>
                    <a:ln>
                      <a:noFill/>
                    </a:ln>
                  </pic:spPr>
                </pic:pic>
              </a:graphicData>
            </a:graphic>
          </wp:anchor>
        </w:drawing>
      </w:r>
      <w:r>
        <w:rPr>
          <w:rFonts w:ascii="Arial" w:eastAsia="Times New Roman" w:hAnsi="Arial" w:cs="Arial"/>
          <w:b/>
          <w:bCs/>
          <w:kern w:val="0"/>
          <w:sz w:val="20"/>
          <w:szCs w:val="20"/>
          <w14:ligatures w14:val="none"/>
        </w:rPr>
        <w:t>Figure 8. (a) Test setup for crack generation and (b</w:t>
      </w:r>
      <w:r>
        <w:rPr>
          <w:rFonts w:ascii="Arial" w:eastAsiaTheme="minorEastAsia" w:hAnsi="Arial" w:cs="Arial" w:hint="eastAsia"/>
          <w:b/>
          <w:bCs/>
          <w:kern w:val="0"/>
          <w:sz w:val="20"/>
          <w:szCs w:val="20"/>
          <w:lang w:eastAsia="zh-CN"/>
          <w14:ligatures w14:val="none"/>
        </w:rPr>
        <w:t>-e</w:t>
      </w:r>
      <w:r>
        <w:rPr>
          <w:rFonts w:ascii="Arial" w:eastAsia="Times New Roman" w:hAnsi="Arial" w:cs="Arial"/>
          <w:b/>
          <w:bCs/>
          <w:kern w:val="0"/>
          <w:sz w:val="20"/>
          <w:szCs w:val="20"/>
          <w14:ligatures w14:val="none"/>
        </w:rPr>
        <w:t>) mortar specimen after crack induction</w:t>
      </w:r>
      <w:r>
        <w:rPr>
          <w:rFonts w:ascii="Arial" w:eastAsiaTheme="minorEastAsia" w:hAnsi="Arial" w:cs="Arial" w:hint="eastAsia"/>
          <w:b/>
          <w:bCs/>
          <w:kern w:val="0"/>
          <w:sz w:val="20"/>
          <w:szCs w:val="20"/>
          <w:lang w:eastAsia="zh-CN"/>
          <w14:ligatures w14:val="none"/>
        </w:rPr>
        <w:t>.</w:t>
      </w:r>
    </w:p>
    <w:p w14:paraId="65EA6BC4" w14:textId="77777777" w:rsidR="00075928" w:rsidRDefault="00075928">
      <w:pPr>
        <w:ind w:left="720"/>
        <w:rPr>
          <w:rFonts w:ascii="Arial" w:eastAsia="Times New Roman" w:hAnsi="Arial" w:cs="Arial"/>
          <w:kern w:val="0"/>
          <w:sz w:val="20"/>
          <w:szCs w:val="20"/>
          <w14:ligatures w14:val="none"/>
        </w:rPr>
      </w:pPr>
    </w:p>
    <w:p w14:paraId="65EA6BC5" w14:textId="77777777" w:rsidR="00075928" w:rsidRDefault="009932F3" w:rsidP="00434EEE">
      <w:pPr>
        <w:pStyle w:val="Heading3"/>
      </w:pPr>
      <w:bookmarkStart w:id="14" w:name="_Toc204250346"/>
      <w:r>
        <w:t>4.3.2. Crack healing evaluation methods</w:t>
      </w:r>
      <w:bookmarkEnd w:id="14"/>
    </w:p>
    <w:p w14:paraId="65EA6BC6"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To assess the effectiveness of fungal- and bacteria-induced crack healing in cement mortar specimens, multiple evaluation techniques were employed. These methods were selected to provide both qualitative and quantitative insights into the healing performance. Visual inspection was used to observe surface crack closure, while mechanical and physical tests—including compressive strength, S-and P-wave velocity measurements, and water absorption—were conducted to quantify the healing progress of the cement mortar smaples. </w:t>
      </w:r>
    </w:p>
    <w:p w14:paraId="65EA6BC7" w14:textId="77777777" w:rsidR="00075928" w:rsidRDefault="00075928">
      <w:pPr>
        <w:ind w:left="720"/>
        <w:rPr>
          <w:rFonts w:ascii="Arial" w:eastAsia="Times New Roman" w:hAnsi="Arial" w:cs="Arial"/>
          <w:kern w:val="0"/>
          <w:sz w:val="20"/>
          <w:szCs w:val="20"/>
          <w14:ligatures w14:val="none"/>
        </w:rPr>
      </w:pPr>
    </w:p>
    <w:p w14:paraId="65EA6BC8" w14:textId="77777777" w:rsidR="00075928" w:rsidRDefault="009932F3" w:rsidP="00434EEE">
      <w:pPr>
        <w:pStyle w:val="Heading4"/>
      </w:pPr>
      <w:r>
        <w:t>4.3.2.1. Visual crack closure observation</w:t>
      </w:r>
    </w:p>
    <w:p w14:paraId="65EA6BC9"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Visual inspection was conducted to qualitatively evaluate the extent of surface crack healing in the mortar specimens. High-resolution photographs were captured at three critical stages: before the healing treatment, during the healing process, and after the completion of the designated healing period. To ensure consistency, all images were taken under identical lighting conditions, at a fixed camera distance, and using standardized camera settings. A measurement scale was positioned adjacent to the cracks in each photograph to provide dimensional reference. The degree of crack closure was assessed by comparing changes in crack width and continuity across the different stages. Figure 9 shows the preliminary healing results due to bacterial treatment. </w:t>
      </w:r>
    </w:p>
    <w:p w14:paraId="65EA6BCA" w14:textId="77777777" w:rsidR="00075928" w:rsidRDefault="009932F3">
      <w:pPr>
        <w:jc w:val="center"/>
        <w:rPr>
          <w:rFonts w:ascii="Arial" w:hAnsi="Arial" w:cs="Arial"/>
          <w:kern w:val="0"/>
          <w:sz w:val="20"/>
          <w:szCs w:val="20"/>
          <w:lang w:eastAsia="zh-CN"/>
          <w14:ligatures w14:val="none"/>
        </w:rPr>
      </w:pPr>
      <w:r>
        <w:rPr>
          <w:noProof/>
        </w:rPr>
        <w:drawing>
          <wp:inline distT="0" distB="0" distL="114300" distR="114300" wp14:anchorId="65EA6CB1" wp14:editId="65EA6CB2">
            <wp:extent cx="5939155" cy="2401570"/>
            <wp:effectExtent l="0" t="0" r="4445" b="1143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8"/>
                    <a:stretch>
                      <a:fillRect/>
                    </a:stretch>
                  </pic:blipFill>
                  <pic:spPr>
                    <a:xfrm>
                      <a:off x="0" y="0"/>
                      <a:ext cx="5939155" cy="2401570"/>
                    </a:xfrm>
                    <a:prstGeom prst="rect">
                      <a:avLst/>
                    </a:prstGeom>
                    <a:noFill/>
                    <a:ln>
                      <a:noFill/>
                    </a:ln>
                  </pic:spPr>
                </pic:pic>
              </a:graphicData>
            </a:graphic>
          </wp:inline>
        </w:drawing>
      </w:r>
    </w:p>
    <w:p w14:paraId="65EA6BCB" w14:textId="77777777" w:rsidR="00075928" w:rsidRDefault="009932F3">
      <w:pPr>
        <w:ind w:left="720"/>
        <w:jc w:val="center"/>
        <w:rPr>
          <w:rStyle w:val="CommentReference"/>
        </w:rPr>
      </w:pPr>
      <w:r>
        <w:rPr>
          <w:rFonts w:ascii="Arial" w:eastAsia="Times New Roman" w:hAnsi="Arial" w:cs="Arial"/>
          <w:b/>
          <w:bCs/>
          <w:kern w:val="0"/>
          <w:sz w:val="20"/>
          <w:szCs w:val="20"/>
          <w14:ligatures w14:val="none"/>
        </w:rPr>
        <w:t>Figure 9. Surface crack measurement with a scale</w:t>
      </w:r>
      <w:r>
        <w:rPr>
          <w:rFonts w:ascii="Arial" w:eastAsiaTheme="minorEastAsia" w:hAnsi="Arial" w:cs="Arial" w:hint="eastAsia"/>
          <w:b/>
          <w:bCs/>
          <w:kern w:val="0"/>
          <w:sz w:val="20"/>
          <w:szCs w:val="20"/>
          <w:lang w:eastAsia="zh-CN"/>
          <w14:ligatures w14:val="none"/>
        </w:rPr>
        <w:t xml:space="preserve"> (a) before (b)after healing for 16 days</w:t>
      </w:r>
      <w:r>
        <w:rPr>
          <w:rFonts w:ascii="Arial" w:eastAsia="Times New Roman" w:hAnsi="Arial" w:cs="Arial"/>
          <w:b/>
          <w:bCs/>
          <w:kern w:val="0"/>
          <w:sz w:val="20"/>
          <w:szCs w:val="20"/>
          <w14:ligatures w14:val="none"/>
        </w:rPr>
        <w:t>.</w:t>
      </w:r>
    </w:p>
    <w:p w14:paraId="65EA6BCC" w14:textId="77777777" w:rsidR="00075928" w:rsidRDefault="00075928">
      <w:pPr>
        <w:ind w:left="720"/>
        <w:jc w:val="center"/>
        <w:rPr>
          <w:rStyle w:val="CommentReference"/>
        </w:rPr>
      </w:pPr>
    </w:p>
    <w:p w14:paraId="65EA6BCD" w14:textId="77777777" w:rsidR="00075928" w:rsidRDefault="00075928">
      <w:pPr>
        <w:ind w:left="720"/>
        <w:rPr>
          <w:rFonts w:ascii="Arial" w:eastAsia="Times New Roman" w:hAnsi="Arial" w:cs="Arial"/>
          <w:kern w:val="0"/>
          <w:sz w:val="20"/>
          <w:szCs w:val="20"/>
          <w14:ligatures w14:val="none"/>
        </w:rPr>
      </w:pPr>
    </w:p>
    <w:p w14:paraId="65EA6BCE" w14:textId="77777777" w:rsidR="00075928" w:rsidRDefault="009932F3" w:rsidP="00434EEE">
      <w:pPr>
        <w:pStyle w:val="Heading4"/>
      </w:pPr>
      <w:r>
        <w:t>4.3.2.2. Compressive strength tests</w:t>
      </w:r>
    </w:p>
    <w:p w14:paraId="65EA6BCF"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Compressive strength tests were conducted to evaluate the recovery of the compressive strength of the cement mortar after crack healing. Following ASTM C39, cylindrical specimens with pre-induced cracks were tested alongside uncracked controls and untreated cracked samples, using a universal testing machine (Gilson AC-525MR). Each sample group had at least three replicates. A constant loading rate (</w:t>
      </w:r>
      <w:r>
        <w:rPr>
          <w:rFonts w:ascii="Arial" w:hAnsi="Arial" w:cs="Arial" w:hint="eastAsia"/>
          <w:kern w:val="0"/>
          <w:sz w:val="20"/>
          <w:szCs w:val="20"/>
          <w:lang w:eastAsia="zh-CN"/>
          <w14:ligatures w14:val="none"/>
        </w:rPr>
        <w:t>0.24MPa/s</w:t>
      </w:r>
      <w:r>
        <w:rPr>
          <w:rFonts w:ascii="Arial" w:eastAsia="Times New Roman" w:hAnsi="Arial" w:cs="Arial"/>
          <w:kern w:val="0"/>
          <w:sz w:val="20"/>
          <w:szCs w:val="20"/>
          <w14:ligatures w14:val="none"/>
        </w:rPr>
        <w:t>) was applied until failure, and compressive strength was calculated as the peak load divided by the cross-sectional area. Strength values from the healed groups were then compared to those of the control and untreated cracked groups to assess the strength recovery and healing.</w:t>
      </w:r>
    </w:p>
    <w:p w14:paraId="65EA6BD0" w14:textId="77777777" w:rsidR="00075928" w:rsidRDefault="009932F3">
      <w:pPr>
        <w:jc w:val="center"/>
        <w:rPr>
          <w:rFonts w:ascii="Arial" w:hAnsi="Arial" w:cs="Arial"/>
          <w:kern w:val="0"/>
          <w:sz w:val="20"/>
          <w:szCs w:val="20"/>
          <w:lang w:eastAsia="zh-CN"/>
          <w14:ligatures w14:val="none"/>
        </w:rPr>
      </w:pPr>
      <w:r>
        <w:rPr>
          <w:noProof/>
        </w:rPr>
        <w:drawing>
          <wp:inline distT="0" distB="0" distL="114300" distR="114300" wp14:anchorId="65EA6CB3" wp14:editId="65EA6CB4">
            <wp:extent cx="5943600" cy="1627505"/>
            <wp:effectExtent l="0" t="0" r="0" b="1079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9"/>
                    <a:stretch>
                      <a:fillRect/>
                    </a:stretch>
                  </pic:blipFill>
                  <pic:spPr>
                    <a:xfrm>
                      <a:off x="0" y="0"/>
                      <a:ext cx="5943600" cy="1627505"/>
                    </a:xfrm>
                    <a:prstGeom prst="rect">
                      <a:avLst/>
                    </a:prstGeom>
                    <a:noFill/>
                    <a:ln>
                      <a:noFill/>
                    </a:ln>
                  </pic:spPr>
                </pic:pic>
              </a:graphicData>
            </a:graphic>
          </wp:inline>
        </w:drawing>
      </w:r>
    </w:p>
    <w:p w14:paraId="65EA6BD1" w14:textId="77777777" w:rsidR="00075928" w:rsidRDefault="00075928">
      <w:pPr>
        <w:rPr>
          <w:rFonts w:ascii="Arial" w:eastAsia="Times New Roman" w:hAnsi="Arial" w:cs="Arial"/>
          <w:kern w:val="0"/>
          <w:sz w:val="20"/>
          <w:szCs w:val="20"/>
          <w14:ligatures w14:val="none"/>
        </w:rPr>
      </w:pPr>
    </w:p>
    <w:p w14:paraId="65EA6BD2" w14:textId="6B6B7C51" w:rsidR="00075928" w:rsidRDefault="009932F3">
      <w:pPr>
        <w:tabs>
          <w:tab w:val="left" w:pos="4836"/>
        </w:tabs>
        <w:jc w:val="center"/>
        <w:rPr>
          <w:rFonts w:ascii="Arial" w:eastAsiaTheme="minorEastAsia" w:hAnsi="Arial" w:cs="Arial"/>
          <w:b/>
          <w:bCs/>
          <w:kern w:val="0"/>
          <w:sz w:val="20"/>
          <w:szCs w:val="20"/>
          <w:lang w:eastAsia="zh-CN"/>
          <w14:ligatures w14:val="none"/>
        </w:rPr>
      </w:pPr>
      <w:r>
        <w:rPr>
          <w:rFonts w:ascii="Arial" w:eastAsia="Times New Roman" w:hAnsi="Arial" w:cs="Arial"/>
          <w:b/>
          <w:bCs/>
          <w:kern w:val="0"/>
          <w:sz w:val="20"/>
          <w:szCs w:val="20"/>
          <w14:ligatures w14:val="none"/>
        </w:rPr>
        <w:t>Figure 1</w:t>
      </w:r>
      <w:r>
        <w:rPr>
          <w:rFonts w:ascii="Arial" w:hAnsi="Arial" w:cs="Arial" w:hint="eastAsia"/>
          <w:b/>
          <w:bCs/>
          <w:kern w:val="0"/>
          <w:sz w:val="20"/>
          <w:szCs w:val="20"/>
          <w:lang w:eastAsia="zh-CN"/>
          <w14:ligatures w14:val="none"/>
        </w:rPr>
        <w:t>0</w:t>
      </w:r>
      <w:r>
        <w:rPr>
          <w:rFonts w:ascii="Arial" w:eastAsia="Times New Roman" w:hAnsi="Arial" w:cs="Arial"/>
          <w:b/>
          <w:bCs/>
          <w:kern w:val="0"/>
          <w:sz w:val="20"/>
          <w:szCs w:val="20"/>
          <w14:ligatures w14:val="none"/>
        </w:rPr>
        <w:t xml:space="preserve">. </w:t>
      </w:r>
      <w:r>
        <w:rPr>
          <w:rFonts w:ascii="Arial" w:eastAsiaTheme="minorEastAsia" w:hAnsi="Arial" w:cs="Arial" w:hint="eastAsia"/>
          <w:b/>
          <w:bCs/>
          <w:kern w:val="0"/>
          <w:sz w:val="20"/>
          <w:szCs w:val="20"/>
          <w:lang w:eastAsia="zh-CN"/>
          <w14:ligatures w14:val="none"/>
        </w:rPr>
        <w:t xml:space="preserve">(a) </w:t>
      </w:r>
      <w:r>
        <w:rPr>
          <w:rFonts w:ascii="Arial" w:eastAsia="Times New Roman" w:hAnsi="Arial" w:cs="Arial"/>
          <w:b/>
          <w:bCs/>
          <w:kern w:val="0"/>
          <w:sz w:val="20"/>
          <w:szCs w:val="20"/>
          <w14:ligatures w14:val="none"/>
        </w:rPr>
        <w:t>Compression test setup (b–d) fully fractured specimens.</w:t>
      </w:r>
    </w:p>
    <w:p w14:paraId="65EA6BD3" w14:textId="77777777" w:rsidR="00075928" w:rsidRDefault="00075928">
      <w:pPr>
        <w:ind w:left="720"/>
        <w:rPr>
          <w:rFonts w:ascii="Arial" w:eastAsia="Times New Roman" w:hAnsi="Arial" w:cs="Arial"/>
          <w:kern w:val="0"/>
          <w:sz w:val="20"/>
          <w:szCs w:val="20"/>
          <w14:ligatures w14:val="none"/>
        </w:rPr>
      </w:pPr>
    </w:p>
    <w:p w14:paraId="65EA6BD4" w14:textId="77777777" w:rsidR="00075928" w:rsidRDefault="009932F3" w:rsidP="00434EEE">
      <w:pPr>
        <w:pStyle w:val="Heading4"/>
      </w:pPr>
      <w:r>
        <w:t>4.3.2.3. S-wave and P-wave velocities tests</w:t>
      </w:r>
    </w:p>
    <w:p w14:paraId="65EA6BD5" w14:textId="77777777" w:rsidR="00075928" w:rsidRDefault="009932F3">
      <w:pPr>
        <w:rPr>
          <w:rFonts w:ascii="Arial" w:eastAsiaTheme="minorEastAsia" w:hAnsi="Arial" w:cs="Arial"/>
          <w:kern w:val="0"/>
          <w:sz w:val="20"/>
          <w:szCs w:val="20"/>
          <w:lang w:eastAsia="zh-CN"/>
          <w14:ligatures w14:val="none"/>
        </w:rPr>
      </w:pPr>
      <w:r>
        <w:rPr>
          <w:rFonts w:ascii="Arial" w:eastAsia="Times New Roman" w:hAnsi="Arial" w:cs="Arial"/>
          <w:kern w:val="0"/>
          <w:sz w:val="20"/>
          <w:szCs w:val="20"/>
          <w14:ligatures w14:val="none"/>
        </w:rPr>
        <w:t xml:space="preserve">The S-wave velocity tests using bender elements and P-wave velocity tests using P-wave sensors were used to assess internal crack healing by measuring S-and P-wave velocities in the cement </w:t>
      </w:r>
      <w:r>
        <w:rPr>
          <w:rFonts w:ascii="Arial" w:hAnsi="Arial" w:cs="Arial" w:hint="eastAsia"/>
          <w:kern w:val="0"/>
          <w:sz w:val="20"/>
          <w:szCs w:val="20"/>
          <w:lang w:eastAsia="zh-CN"/>
          <w14:ligatures w14:val="none"/>
        </w:rPr>
        <w:t>s</w:t>
      </w:r>
      <w:r>
        <w:rPr>
          <w:rFonts w:ascii="Arial" w:eastAsia="Times New Roman" w:hAnsi="Arial" w:cs="Arial"/>
          <w:kern w:val="0"/>
          <w:sz w:val="20"/>
          <w:szCs w:val="20"/>
          <w14:ligatures w14:val="none"/>
        </w:rPr>
        <w:t>mortar specimens</w:t>
      </w:r>
      <w:r>
        <w:rPr>
          <w:rFonts w:ascii="Arial" w:hAnsi="Arial" w:cs="Arial" w:hint="eastAsia"/>
          <w:kern w:val="0"/>
          <w:sz w:val="20"/>
          <w:szCs w:val="20"/>
          <w:lang w:eastAsia="zh-CN"/>
          <w14:ligatures w14:val="none"/>
        </w:rPr>
        <w:t>(Wang et al. 2013; Huang et al. 2017)</w:t>
      </w:r>
      <w:r>
        <w:rPr>
          <w:rFonts w:ascii="Arial" w:eastAsia="Times New Roman" w:hAnsi="Arial" w:cs="Arial"/>
          <w:kern w:val="0"/>
          <w:sz w:val="20"/>
          <w:szCs w:val="20"/>
          <w14:ligatures w14:val="none"/>
        </w:rPr>
        <w:t xml:space="preserve">. A pair of piezoelectric bender elements was in touch with the top and bottom of each cylindrical sample, with a square wave signal (typically </w:t>
      </w:r>
      <w:r>
        <w:rPr>
          <w:rFonts w:ascii="Arial" w:eastAsiaTheme="minorEastAsia" w:hAnsi="Arial" w:cs="Arial" w:hint="eastAsia"/>
          <w:kern w:val="0"/>
          <w:sz w:val="20"/>
          <w:szCs w:val="20"/>
          <w:lang w:eastAsia="zh-CN"/>
          <w14:ligatures w14:val="none"/>
        </w:rPr>
        <w:t>100</w:t>
      </w:r>
      <w:r>
        <w:rPr>
          <w:rFonts w:ascii="Arial" w:eastAsia="Times New Roman" w:hAnsi="Arial" w:cs="Arial"/>
          <w:kern w:val="0"/>
          <w:sz w:val="20"/>
          <w:szCs w:val="20"/>
          <w14:ligatures w14:val="none"/>
        </w:rPr>
        <w:t xml:space="preserve"> Hz, 5 V) applied through a function generator. The received signals were captured on a digital oscilloscope with 128-time stacking and filtered using a 100 Hz – 50 kHz band-pass filter to minimize noise (Figure 11). S-wave first arrival time was identified from the waveform which was used to calculate the travel time, and the S-wave velocities were calculated by dividing the spacing between two bender elements by the travel time. Tests were performed before, during, and after healing. An increase in shear wave velocity indicated improved internal continuity and effective crack closure at small strain levels.</w:t>
      </w:r>
    </w:p>
    <w:p w14:paraId="65EA6BD6"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P-wave velocity measurements were conducted in a similar manner to the S-wave tests, except that a pair of compressional wave (P-wave) transducers were positioned at the top and bottom surfaces of each cylindrical specimen. A square wave signal (</w:t>
      </w:r>
      <w:r>
        <w:rPr>
          <w:rFonts w:ascii="Arial" w:eastAsiaTheme="minorEastAsia" w:hAnsi="Arial" w:cs="Arial" w:hint="eastAsia"/>
          <w:kern w:val="0"/>
          <w:sz w:val="20"/>
          <w:szCs w:val="20"/>
          <w:lang w:eastAsia="zh-CN"/>
          <w14:ligatures w14:val="none"/>
        </w:rPr>
        <w:t>50</w:t>
      </w:r>
      <w:r>
        <w:rPr>
          <w:rFonts w:ascii="Arial" w:eastAsia="Times New Roman" w:hAnsi="Arial" w:cs="Arial"/>
          <w:kern w:val="0"/>
          <w:sz w:val="20"/>
          <w:szCs w:val="20"/>
          <w14:ligatures w14:val="none"/>
        </w:rPr>
        <w:t xml:space="preserve"> Hz, 5 V) was generated using the same function generator, and the received signals were captured by a digital oscilloscope. The signals were filtered using a </w:t>
      </w:r>
      <w:r>
        <w:rPr>
          <w:rFonts w:ascii="Arial" w:eastAsiaTheme="minorEastAsia" w:hAnsi="Arial" w:cs="Arial" w:hint="eastAsia"/>
          <w:kern w:val="0"/>
          <w:sz w:val="20"/>
          <w:szCs w:val="20"/>
          <w:lang w:eastAsia="zh-CN"/>
          <w14:ligatures w14:val="none"/>
        </w:rPr>
        <w:t>6</w:t>
      </w:r>
      <w:r>
        <w:rPr>
          <w:rFonts w:ascii="Arial" w:eastAsia="Times New Roman" w:hAnsi="Arial" w:cs="Arial"/>
          <w:kern w:val="0"/>
          <w:sz w:val="20"/>
          <w:szCs w:val="20"/>
          <w14:ligatures w14:val="none"/>
        </w:rPr>
        <w:t>00 Hz–</w:t>
      </w:r>
      <w:r>
        <w:rPr>
          <w:rFonts w:ascii="Arial" w:eastAsiaTheme="minorEastAsia" w:hAnsi="Arial" w:cs="Arial" w:hint="eastAsia"/>
          <w:kern w:val="0"/>
          <w:sz w:val="20"/>
          <w:szCs w:val="20"/>
          <w:lang w:eastAsia="zh-CN"/>
          <w14:ligatures w14:val="none"/>
        </w:rPr>
        <w:t>300</w:t>
      </w:r>
      <w:r>
        <w:rPr>
          <w:rFonts w:ascii="Arial" w:eastAsia="Times New Roman" w:hAnsi="Arial" w:cs="Arial"/>
          <w:kern w:val="0"/>
          <w:sz w:val="20"/>
          <w:szCs w:val="20"/>
          <w14:ligatures w14:val="none"/>
        </w:rPr>
        <w:t xml:space="preserve"> kHz band-pass filter to minimize environmental and electrical noise(Figure 11). The first arrival time of the P-wave was identified as the time corresponding to the first stable wave peak in the waveform. P-wave velocities were then calculated by dividing the specimen length by the travel time. Like the S-wave tests, measurements were performed before and after healing, and increases in P-wave velocity were interpreted as indicators of improved material integrity and effective microcrack closure.</w:t>
      </w:r>
    </w:p>
    <w:p w14:paraId="65EA6BD7" w14:textId="77777777" w:rsidR="00075928" w:rsidRDefault="00075928">
      <w:pPr>
        <w:ind w:left="720"/>
        <w:rPr>
          <w:rFonts w:ascii="Arial" w:eastAsia="Times New Roman" w:hAnsi="Arial" w:cs="Arial"/>
          <w:kern w:val="0"/>
          <w:sz w:val="20"/>
          <w:szCs w:val="20"/>
          <w14:ligatures w14:val="none"/>
        </w:rPr>
      </w:pPr>
    </w:p>
    <w:p w14:paraId="65EA6BD8" w14:textId="77777777" w:rsidR="00075928" w:rsidRDefault="009932F3">
      <w:pPr>
        <w:tabs>
          <w:tab w:val="left" w:pos="4836"/>
        </w:tabs>
        <w:jc w:val="center"/>
        <w:rPr>
          <w:sz w:val="20"/>
          <w:szCs w:val="20"/>
        </w:rPr>
      </w:pPr>
      <w:r>
        <w:rPr>
          <w:noProof/>
          <w:sz w:val="20"/>
          <w:szCs w:val="20"/>
        </w:rPr>
        <w:lastRenderedPageBreak/>
        <w:drawing>
          <wp:inline distT="0" distB="0" distL="0" distR="0" wp14:anchorId="65EA6CB5" wp14:editId="384AE980">
            <wp:extent cx="2217225" cy="2438400"/>
            <wp:effectExtent l="0" t="0" r="5715" b="0"/>
            <wp:docPr id="371029888" name="图片 10" descr="图片包含 室内, 电脑, 桌子, 监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29888" name="图片 10" descr="图片包含 室内, 电脑, 桌子, 监控&#10;&#10;AI 生成的内容可能不正确。"/>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7519"/>
                    <a:stretch/>
                  </pic:blipFill>
                  <pic:spPr bwMode="auto">
                    <a:xfrm>
                      <a:off x="0" y="0"/>
                      <a:ext cx="2230251" cy="2452725"/>
                    </a:xfrm>
                    <a:prstGeom prst="rect">
                      <a:avLst/>
                    </a:prstGeom>
                    <a:noFill/>
                    <a:ln>
                      <a:noFill/>
                    </a:ln>
                    <a:extLst>
                      <a:ext uri="{53640926-AAD7-44D8-BBD7-CCE9431645EC}">
                        <a14:shadowObscured xmlns:a14="http://schemas.microsoft.com/office/drawing/2010/main"/>
                      </a:ext>
                    </a:extLst>
                  </pic:spPr>
                </pic:pic>
              </a:graphicData>
            </a:graphic>
          </wp:inline>
        </w:drawing>
      </w:r>
    </w:p>
    <w:p w14:paraId="65EA6BD9" w14:textId="77777777" w:rsidR="00075928" w:rsidRDefault="009932F3">
      <w:pPr>
        <w:tabs>
          <w:tab w:val="left" w:pos="4836"/>
        </w:tabs>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Figure 11. Equipment for S-and P-wave velocity testing.</w:t>
      </w:r>
    </w:p>
    <w:p w14:paraId="65EA6BDA" w14:textId="77777777" w:rsidR="00075928" w:rsidRDefault="00075928">
      <w:pPr>
        <w:ind w:left="720"/>
        <w:rPr>
          <w:rFonts w:ascii="Arial" w:eastAsia="Times New Roman" w:hAnsi="Arial" w:cs="Arial"/>
          <w:kern w:val="0"/>
          <w:sz w:val="20"/>
          <w:szCs w:val="20"/>
          <w14:ligatures w14:val="none"/>
        </w:rPr>
      </w:pPr>
    </w:p>
    <w:p w14:paraId="65EA6BDB" w14:textId="77777777" w:rsidR="00075928" w:rsidRDefault="009932F3" w:rsidP="00434EEE">
      <w:pPr>
        <w:pStyle w:val="Heading4"/>
      </w:pPr>
      <w:r>
        <w:t>4.3.2.4. Water absorption tests</w:t>
      </w:r>
    </w:p>
    <w:p w14:paraId="65EA6BDC" w14:textId="158D2C1C"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Water absorption tests were performed to evaluate the improvement in impermeability resulting from crack healing. The procedure was adapted from ASTM C642, a standard method for assessing the absorption and void content of hardened </w:t>
      </w:r>
      <w:r w:rsidR="0048442C">
        <w:rPr>
          <w:rFonts w:ascii="Arial" w:eastAsia="Times New Roman" w:hAnsi="Arial" w:cs="Arial"/>
          <w:kern w:val="0"/>
          <w:sz w:val="20"/>
          <w:szCs w:val="20"/>
          <w14:ligatures w14:val="none"/>
        </w:rPr>
        <w:t>concrete but</w:t>
      </w:r>
      <w:r>
        <w:rPr>
          <w:rFonts w:ascii="Arial" w:eastAsia="Times New Roman" w:hAnsi="Arial" w:cs="Arial"/>
          <w:kern w:val="0"/>
          <w:sz w:val="20"/>
          <w:szCs w:val="20"/>
          <w14:ligatures w14:val="none"/>
        </w:rPr>
        <w:t xml:space="preserve"> was modified to suit the characteristics of bio-treated mortar specimens.</w:t>
      </w:r>
    </w:p>
    <w:p w14:paraId="114D2C82" w14:textId="77777777" w:rsidR="0048442C" w:rsidRDefault="0048442C">
      <w:pPr>
        <w:rPr>
          <w:rFonts w:ascii="Arial" w:eastAsia="Times New Roman" w:hAnsi="Arial" w:cs="Arial"/>
          <w:kern w:val="0"/>
          <w:sz w:val="20"/>
          <w:szCs w:val="20"/>
          <w14:ligatures w14:val="none"/>
        </w:rPr>
      </w:pPr>
    </w:p>
    <w:p w14:paraId="65EA6BDE" w14:textId="41D53837" w:rsidR="00075928" w:rsidRDefault="009932F3">
      <w:pPr>
        <w:rPr>
          <w:rFonts w:ascii="Arial" w:hAnsi="Arial" w:cs="Arial"/>
          <w:kern w:val="0"/>
          <w:sz w:val="20"/>
          <w:szCs w:val="20"/>
          <w:lang w:eastAsia="zh-CN"/>
          <w14:ligatures w14:val="none"/>
        </w:rPr>
      </w:pPr>
      <w:r>
        <w:rPr>
          <w:rFonts w:ascii="Arial" w:eastAsia="Times New Roman" w:hAnsi="Arial" w:cs="Arial"/>
          <w:kern w:val="0"/>
          <w:sz w:val="20"/>
          <w:szCs w:val="20"/>
          <w14:ligatures w14:val="none"/>
        </w:rPr>
        <w:t>To avoid thermal degradation of fungal or bacterial components during intermediate steps, the samples were air-dried at room temperature for approximately 48 hours instead of being oven-dried. After this period, they were fully immersed in water for 24 hours to allow saturation. This process was carried out both before and after the healing treatment.</w:t>
      </w:r>
      <w:r w:rsidR="00606C41">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A reduction in water uptake after healing was considered indicative of improved crack closure and restoration of the internal barrier to water ingress. For consistency and final comparison, oven-drying </w:t>
      </w:r>
      <w:r>
        <w:rPr>
          <w:rFonts w:ascii="Arial" w:eastAsia="Times New Roman" w:hAnsi="Arial" w:cs="Arial" w:hint="eastAsia"/>
          <w:kern w:val="0"/>
          <w:sz w:val="20"/>
          <w:szCs w:val="20"/>
          <w:lang w:eastAsia="zh-CN"/>
          <w14:ligatures w14:val="none"/>
        </w:rPr>
        <w:t>at 105</w:t>
      </w:r>
      <w:r>
        <w:rPr>
          <w:rFonts w:ascii="Arial" w:eastAsia="Times New Roman" w:hAnsi="Arial" w:cs="Arial"/>
          <w:kern w:val="0"/>
          <w:sz w:val="20"/>
          <w:szCs w:val="20"/>
          <w14:ligatures w14:val="none"/>
        </w:rPr>
        <w:t>±5°C was conducted only once—after the healing stage—under standardized conditions</w:t>
      </w:r>
      <w:r>
        <w:rPr>
          <w:rFonts w:ascii="Arial" w:hAnsi="Arial" w:cs="Arial" w:hint="eastAsia"/>
          <w:kern w:val="0"/>
          <w:sz w:val="20"/>
          <w:szCs w:val="20"/>
          <w:lang w:eastAsia="zh-CN"/>
          <w14:ligatures w14:val="none"/>
        </w:rPr>
        <w:t>.</w:t>
      </w:r>
    </w:p>
    <w:p w14:paraId="6000FFF5" w14:textId="77777777" w:rsidR="00606C41" w:rsidRDefault="00606C41">
      <w:pPr>
        <w:rPr>
          <w:rFonts w:ascii="Arial" w:hAnsi="Arial" w:cs="Arial"/>
          <w:kern w:val="0"/>
          <w:sz w:val="20"/>
          <w:szCs w:val="20"/>
          <w:lang w:eastAsia="zh-CN"/>
          <w14:ligatures w14:val="none"/>
        </w:rPr>
      </w:pPr>
    </w:p>
    <w:p w14:paraId="65EA6BDF" w14:textId="77777777" w:rsidR="00075928" w:rsidRDefault="009932F3">
      <w:pPr>
        <w:tabs>
          <w:tab w:val="left" w:pos="4836"/>
        </w:tabs>
        <w:jc w:val="center"/>
      </w:pPr>
      <w:r>
        <w:rPr>
          <w:noProof/>
        </w:rPr>
        <w:drawing>
          <wp:inline distT="0" distB="0" distL="114300" distR="114300" wp14:anchorId="65EA6CB7" wp14:editId="31FD87A7">
            <wp:extent cx="4743450" cy="3122189"/>
            <wp:effectExtent l="0" t="0" r="0" b="2540"/>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21"/>
                    <a:stretch>
                      <a:fillRect/>
                    </a:stretch>
                  </pic:blipFill>
                  <pic:spPr>
                    <a:xfrm>
                      <a:off x="0" y="0"/>
                      <a:ext cx="4766823" cy="3137574"/>
                    </a:xfrm>
                    <a:prstGeom prst="rect">
                      <a:avLst/>
                    </a:prstGeom>
                    <a:noFill/>
                    <a:ln>
                      <a:noFill/>
                    </a:ln>
                  </pic:spPr>
                </pic:pic>
              </a:graphicData>
            </a:graphic>
          </wp:inline>
        </w:drawing>
      </w:r>
    </w:p>
    <w:p w14:paraId="65EA6BE0" w14:textId="4B994FF3" w:rsidR="00075928" w:rsidRDefault="009932F3">
      <w:pPr>
        <w:tabs>
          <w:tab w:val="left" w:pos="4836"/>
        </w:tabs>
        <w:jc w:val="center"/>
        <w:rPr>
          <w:rFonts w:ascii="Arial" w:eastAsiaTheme="minorEastAsia" w:hAnsi="Arial" w:cs="Arial"/>
          <w:kern w:val="0"/>
          <w:sz w:val="20"/>
          <w:szCs w:val="20"/>
          <w:lang w:eastAsia="zh-CN"/>
          <w14:ligatures w14:val="none"/>
        </w:rPr>
      </w:pPr>
      <w:r>
        <w:rPr>
          <w:rFonts w:ascii="Arial" w:eastAsia="Times New Roman" w:hAnsi="Arial" w:cs="Arial"/>
          <w:b/>
          <w:bCs/>
          <w:kern w:val="0"/>
          <w:sz w:val="20"/>
          <w:szCs w:val="20"/>
          <w14:ligatures w14:val="none"/>
        </w:rPr>
        <w:t>Figure 1</w:t>
      </w:r>
      <w:r>
        <w:rPr>
          <w:rFonts w:ascii="Arial" w:hAnsi="Arial" w:cs="Arial" w:hint="eastAsia"/>
          <w:b/>
          <w:bCs/>
          <w:kern w:val="0"/>
          <w:sz w:val="20"/>
          <w:szCs w:val="20"/>
          <w:lang w:eastAsia="zh-CN"/>
          <w14:ligatures w14:val="none"/>
        </w:rPr>
        <w:t>2</w:t>
      </w:r>
      <w:r>
        <w:rPr>
          <w:rFonts w:ascii="Arial" w:eastAsia="Times New Roman" w:hAnsi="Arial" w:cs="Arial"/>
          <w:b/>
          <w:bCs/>
          <w:kern w:val="0"/>
          <w:sz w:val="20"/>
          <w:szCs w:val="20"/>
          <w14:ligatures w14:val="none"/>
        </w:rPr>
        <w:t xml:space="preserve">. </w:t>
      </w:r>
      <w:r>
        <w:rPr>
          <w:rFonts w:ascii="Arial" w:hAnsi="Arial" w:cs="Arial" w:hint="eastAsia"/>
          <w:b/>
          <w:bCs/>
          <w:kern w:val="0"/>
          <w:sz w:val="20"/>
          <w:szCs w:val="20"/>
          <w:lang w:eastAsia="zh-CN"/>
          <w14:ligatures w14:val="none"/>
        </w:rPr>
        <w:t xml:space="preserve">(a) </w:t>
      </w:r>
      <w:r>
        <w:rPr>
          <w:rFonts w:ascii="Arial" w:eastAsia="Times New Roman" w:hAnsi="Arial" w:cs="Arial"/>
          <w:b/>
          <w:bCs/>
          <w:kern w:val="0"/>
          <w:sz w:val="20"/>
          <w:szCs w:val="20"/>
          <w14:ligatures w14:val="none"/>
        </w:rPr>
        <w:t>Water absorption test workflow adapted for bio-treated concrete</w:t>
      </w:r>
      <w:r w:rsidR="000A11AA">
        <w:rPr>
          <w:rFonts w:ascii="Arial" w:eastAsia="Times New Roman" w:hAnsi="Arial" w:cs="Arial"/>
          <w:b/>
          <w:bCs/>
          <w:kern w:val="0"/>
          <w:sz w:val="20"/>
          <w:szCs w:val="20"/>
          <w14:ligatures w14:val="none"/>
        </w:rPr>
        <w:t xml:space="preserve"> </w:t>
      </w:r>
      <w:r>
        <w:rPr>
          <w:rFonts w:ascii="Arial" w:hAnsi="Arial" w:cs="Arial" w:hint="eastAsia"/>
          <w:b/>
          <w:bCs/>
          <w:kern w:val="0"/>
          <w:sz w:val="20"/>
          <w:szCs w:val="20"/>
          <w:lang w:eastAsia="zh-CN"/>
          <w14:ligatures w14:val="none"/>
        </w:rPr>
        <w:t>(b-c)</w:t>
      </w:r>
      <w:r>
        <w:rPr>
          <w:rFonts w:ascii="Arial" w:eastAsia="Times New Roman" w:hAnsi="Arial" w:cs="Arial"/>
          <w:b/>
          <w:bCs/>
          <w:kern w:val="0"/>
          <w:sz w:val="20"/>
          <w:szCs w:val="20"/>
          <w14:ligatures w14:val="none"/>
        </w:rPr>
        <w:t xml:space="preserve"> saturation and drying stages.</w:t>
      </w:r>
    </w:p>
    <w:p w14:paraId="65EA6BE1" w14:textId="77777777" w:rsidR="00075928" w:rsidRDefault="009932F3" w:rsidP="00434EEE">
      <w:pPr>
        <w:pStyle w:val="Heading1"/>
      </w:pPr>
      <w:bookmarkStart w:id="15" w:name="_Toc204250347"/>
      <w:r>
        <w:lastRenderedPageBreak/>
        <w:t>Project results:</w:t>
      </w:r>
      <w:bookmarkEnd w:id="15"/>
    </w:p>
    <w:p w14:paraId="65EA6BE2" w14:textId="77777777" w:rsidR="00075928" w:rsidRDefault="00075928">
      <w:pPr>
        <w:rPr>
          <w:rFonts w:ascii="Arial" w:eastAsia="Times New Roman" w:hAnsi="Arial" w:cs="Arial"/>
          <w:kern w:val="0"/>
          <w:sz w:val="20"/>
          <w:szCs w:val="20"/>
          <w14:ligatures w14:val="none"/>
        </w:rPr>
      </w:pPr>
    </w:p>
    <w:p w14:paraId="65EA6BE3" w14:textId="77777777" w:rsidR="00075928" w:rsidRDefault="009932F3" w:rsidP="00434EEE">
      <w:pPr>
        <w:pStyle w:val="Heading2"/>
        <w:rPr>
          <w:sz w:val="20"/>
          <w:szCs w:val="20"/>
        </w:rPr>
      </w:pPr>
      <w:bookmarkStart w:id="16" w:name="_Toc204250348"/>
      <w:r>
        <w:t>5.1. Task 1. Evaluating the performance of three fungal strains on mineral precipitation</w:t>
      </w:r>
      <w:bookmarkEnd w:id="16"/>
    </w:p>
    <w:p w14:paraId="7B7FB1DF" w14:textId="77777777" w:rsidR="00606C41" w:rsidRPr="00434EEE" w:rsidRDefault="00606C41" w:rsidP="006A1E41">
      <w:pPr>
        <w:pStyle w:val="Heading4"/>
        <w:rPr>
          <w:i w:val="0"/>
          <w:iCs w:val="0"/>
        </w:rPr>
      </w:pPr>
    </w:p>
    <w:p w14:paraId="65EA6BE4" w14:textId="7841484D" w:rsidR="00075928" w:rsidRDefault="009932F3" w:rsidP="006A1E41">
      <w:pPr>
        <w:pStyle w:val="Heading4"/>
        <w:rPr>
          <w:i w:val="0"/>
          <w:iCs w:val="0"/>
        </w:rPr>
      </w:pPr>
      <w:r w:rsidRPr="00434EEE">
        <w:rPr>
          <w:i w:val="0"/>
          <w:iCs w:val="0"/>
        </w:rPr>
        <w:t>The pH results (Figure 12) show a gradual increase in pH over the 8-day testing period following the addition of a urea-based cementation solution. The initial measurement on Day 0 represents fungal cultures that had been pre-incubated for 7 days in PDB medium, after which urea and CaCl</w:t>
      </w:r>
      <w:r w:rsidRPr="00434EEE">
        <w:rPr>
          <w:rFonts w:ascii="Cambria Math" w:hAnsi="Cambria Math" w:cs="Cambria Math"/>
          <w:i w:val="0"/>
          <w:iCs w:val="0"/>
        </w:rPr>
        <w:t>₂</w:t>
      </w:r>
      <w:r w:rsidRPr="00434EEE">
        <w:rPr>
          <w:i w:val="0"/>
          <w:iCs w:val="0"/>
        </w:rPr>
        <w:t xml:space="preserve"> were introduced to stimulate urease activity.</w:t>
      </w:r>
    </w:p>
    <w:p w14:paraId="2E6B9A75" w14:textId="77777777" w:rsidR="00606C41" w:rsidRPr="00434EEE" w:rsidRDefault="00606C41" w:rsidP="00434EEE"/>
    <w:p w14:paraId="65EA6BE5" w14:textId="77777777" w:rsidR="00075928" w:rsidRDefault="009932F3">
      <w:pPr>
        <w:jc w:val="center"/>
        <w:rPr>
          <w:lang w:eastAsia="zh-CN"/>
        </w:rPr>
      </w:pPr>
      <w:r>
        <w:rPr>
          <w:noProof/>
          <w14:ligatures w14:val="none"/>
        </w:rPr>
        <w:drawing>
          <wp:inline distT="0" distB="0" distL="0" distR="0" wp14:anchorId="65EA6CB9" wp14:editId="65EA6CBA">
            <wp:extent cx="5726430" cy="3048000"/>
            <wp:effectExtent l="0" t="0" r="7620" b="0"/>
            <wp:docPr id="5167850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EA6BE6" w14:textId="77777777" w:rsidR="00075928" w:rsidRDefault="009932F3">
      <w:pPr>
        <w:pStyle w:val="ListParagraph"/>
        <w:ind w:left="0"/>
        <w:jc w:val="center"/>
        <w:rPr>
          <w:rFonts w:ascii="Arial" w:eastAsiaTheme="minorEastAsia"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hAnsi="Arial" w:cs="Arial" w:hint="eastAsia"/>
          <w:b/>
          <w:bCs/>
          <w:kern w:val="0"/>
          <w:sz w:val="20"/>
          <w:szCs w:val="20"/>
          <w:lang w:eastAsia="zh-CN"/>
          <w14:ligatures w14:val="none"/>
        </w:rPr>
        <w:t>3</w:t>
      </w:r>
      <w:r>
        <w:rPr>
          <w:rFonts w:ascii="Arial" w:eastAsia="Times New Roman" w:hAnsi="Arial" w:cs="Arial"/>
          <w:b/>
          <w:bCs/>
          <w:kern w:val="0"/>
          <w:sz w:val="20"/>
          <w:szCs w:val="20"/>
          <w:lang w:eastAsia="zh-CN"/>
          <w14:ligatures w14:val="none"/>
        </w:rPr>
        <w:t xml:space="preserve">. </w:t>
      </w:r>
      <w:r>
        <w:rPr>
          <w:rFonts w:ascii="Arial" w:hAnsi="Arial" w:cs="Arial"/>
          <w:b/>
          <w:bCs/>
          <w:kern w:val="0"/>
          <w:sz w:val="20"/>
          <w:szCs w:val="20"/>
          <w:lang w:eastAsia="zh-CN"/>
          <w14:ligatures w14:val="none"/>
        </w:rPr>
        <w:t>pH measurement</w:t>
      </w:r>
      <w:r>
        <w:rPr>
          <w:rFonts w:ascii="Arial" w:eastAsia="Times New Roman" w:hAnsi="Arial" w:cs="Arial"/>
          <w:b/>
          <w:bCs/>
          <w:kern w:val="0"/>
          <w:sz w:val="20"/>
          <w:szCs w:val="20"/>
          <w:lang w:eastAsia="zh-CN"/>
          <w14:ligatures w14:val="none"/>
        </w:rPr>
        <w:t>s of three fungal strain solutions.</w:t>
      </w:r>
    </w:p>
    <w:p w14:paraId="65EA6BE7" w14:textId="77777777" w:rsidR="00075928" w:rsidRDefault="009932F3">
      <w:pPr>
        <w:pStyle w:val="NormalWeb"/>
        <w:rPr>
          <w:rFonts w:ascii="Arial" w:eastAsia="Times New Roman" w:hAnsi="Arial" w:cs="Arial"/>
          <w:sz w:val="20"/>
          <w:szCs w:val="20"/>
          <w14:ligatures w14:val="none"/>
        </w:rPr>
      </w:pPr>
      <w:r>
        <w:rPr>
          <w:rFonts w:ascii="Arial" w:eastAsia="Times New Roman" w:hAnsi="Arial" w:cs="Arial"/>
          <w:sz w:val="20"/>
          <w:szCs w:val="20"/>
          <w14:ligatures w14:val="none"/>
        </w:rPr>
        <w:t xml:space="preserve">The pH increase is attributed to the hydrolysis of urea, during which fungal enzymes catalyze the breakdown of urea into ammonia and hydroxide ions, thereby raising the pH. Among the three strains tested, </w:t>
      </w:r>
      <w:r w:rsidRPr="00434EEE">
        <w:rPr>
          <w:rFonts w:ascii="Arial" w:eastAsia="Times New Roman" w:hAnsi="Arial" w:cs="Arial"/>
          <w:i/>
          <w:iCs/>
          <w:sz w:val="20"/>
          <w:szCs w:val="20"/>
          <w14:ligatures w14:val="none"/>
        </w:rPr>
        <w:t>Neurospora crassa</w:t>
      </w:r>
      <w:r>
        <w:rPr>
          <w:rFonts w:ascii="Arial" w:eastAsia="Times New Roman" w:hAnsi="Arial" w:cs="Arial"/>
          <w:sz w:val="20"/>
          <w:szCs w:val="20"/>
          <w14:ligatures w14:val="none"/>
        </w:rPr>
        <w:t xml:space="preserve"> (FGSC 2489) demonstrated the most significant increase in pH, reaching approximately 8.4, suggesting the highest enzymatic activity and strongest potential for inducing mineral precipitation. Trichoderma reesei and Aspergillus niger also exhibited upward pH trends, although to a lesser extent.The results support the hypothesis that fungal urease activity contributes to the alkalinization of the medium, laying a foundation for evaluating the strains' effectiveness in fungal-induced mineral precipitation (FIMP) processes.</w:t>
      </w:r>
    </w:p>
    <w:p w14:paraId="65EA6BE8" w14:textId="77777777" w:rsidR="00075928" w:rsidRDefault="00075928" w:rsidP="00434EEE">
      <w:pPr>
        <w:pStyle w:val="Heading4"/>
      </w:pPr>
    </w:p>
    <w:p w14:paraId="65EA6BE9" w14:textId="77777777" w:rsidR="00075928" w:rsidRDefault="009932F3">
      <w:pPr>
        <w:pStyle w:val="ListParagraph"/>
        <w:rPr>
          <w:rFonts w:ascii="Arial" w:hAnsi="Arial" w:cs="Arial"/>
          <w:i/>
          <w:iCs/>
          <w:kern w:val="0"/>
          <w:sz w:val="20"/>
          <w:szCs w:val="20"/>
          <w:lang w:eastAsia="zh-CN"/>
          <w14:ligatures w14:val="none"/>
        </w:rPr>
      </w:pPr>
      <w:r>
        <w:rPr>
          <w:noProof/>
          <w14:ligatures w14:val="none"/>
        </w:rPr>
        <w:lastRenderedPageBreak/>
        <w:drawing>
          <wp:inline distT="0" distB="0" distL="0" distR="0" wp14:anchorId="65EA6CBB" wp14:editId="65EA6CBC">
            <wp:extent cx="5425440" cy="3009900"/>
            <wp:effectExtent l="0" t="0" r="3810" b="0"/>
            <wp:docPr id="95410114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EA6BEA"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4</w:t>
      </w:r>
      <w:r>
        <w:rPr>
          <w:rFonts w:ascii="Arial" w:eastAsia="Times New Roman" w:hAnsi="Arial" w:cs="Arial"/>
          <w:b/>
          <w:bCs/>
          <w:kern w:val="0"/>
          <w:sz w:val="20"/>
          <w:szCs w:val="20"/>
          <w:lang w:eastAsia="zh-CN"/>
          <w14:ligatures w14:val="none"/>
        </w:rPr>
        <w:t>. Variation of NH</w:t>
      </w:r>
      <w:r>
        <w:rPr>
          <w:rFonts w:ascii="Arial" w:eastAsia="Times New Roman" w:hAnsi="Arial" w:cs="Arial"/>
          <w:b/>
          <w:bCs/>
          <w:kern w:val="0"/>
          <w:sz w:val="20"/>
          <w:szCs w:val="20"/>
          <w:vertAlign w:val="subscript"/>
          <w:lang w:eastAsia="zh-CN"/>
          <w14:ligatures w14:val="none"/>
        </w:rPr>
        <w:t>4</w:t>
      </w:r>
      <w:r>
        <w:rPr>
          <w:rFonts w:ascii="Arial" w:eastAsia="Times New Roman" w:hAnsi="Arial" w:cs="Arial"/>
          <w:b/>
          <w:bCs/>
          <w:kern w:val="0"/>
          <w:sz w:val="20"/>
          <w:szCs w:val="20"/>
          <w:vertAlign w:val="superscript"/>
          <w:lang w:eastAsia="zh-CN"/>
          <w14:ligatures w14:val="none"/>
        </w:rPr>
        <w:t>+</w:t>
      </w:r>
      <w:r>
        <w:rPr>
          <w:rFonts w:ascii="Arial" w:eastAsia="Times New Roman" w:hAnsi="Arial" w:cs="Arial"/>
          <w:b/>
          <w:bCs/>
          <w:kern w:val="0"/>
          <w:sz w:val="20"/>
          <w:szCs w:val="20"/>
          <w:lang w:eastAsia="zh-CN"/>
          <w14:ligatures w14:val="none"/>
        </w:rPr>
        <w:t xml:space="preserve"> of three fungal strains with time.</w:t>
      </w:r>
    </w:p>
    <w:p w14:paraId="65EA6BEB" w14:textId="77777777" w:rsidR="00075928" w:rsidRDefault="00075928">
      <w:pPr>
        <w:pStyle w:val="ListParagraph"/>
        <w:adjustRightInd w:val="0"/>
        <w:snapToGrid w:val="0"/>
        <w:ind w:left="0"/>
        <w:jc w:val="center"/>
      </w:pPr>
    </w:p>
    <w:p w14:paraId="65EA6BEC" w14:textId="77777777" w:rsidR="00075928" w:rsidRDefault="009932F3">
      <w:pPr>
        <w:rPr>
          <w:rFonts w:ascii="Arial" w:eastAsia="Times New Roman" w:hAnsi="Arial" w:cs="Arial"/>
          <w:color w:val="000000" w:themeColor="text1"/>
          <w:kern w:val="0"/>
          <w:sz w:val="20"/>
          <w:szCs w:val="20"/>
          <w14:ligatures w14:val="none"/>
        </w:rPr>
      </w:pPr>
      <w:r>
        <w:rPr>
          <w:rFonts w:ascii="Arial" w:eastAsia="Times New Roman" w:hAnsi="Arial" w:cs="Arial"/>
          <w:sz w:val="20"/>
          <w:szCs w:val="20"/>
          <w14:ligatures w14:val="none"/>
        </w:rPr>
        <w:t xml:space="preserve">The research team also assessed the performance of three fungal strains, </w:t>
      </w:r>
      <w:r>
        <w:rPr>
          <w:rFonts w:ascii="Arial" w:eastAsia="Times New Roman" w:hAnsi="Arial" w:cs="Arial"/>
          <w:i/>
          <w:iCs/>
          <w:kern w:val="0"/>
          <w:sz w:val="20"/>
          <w:szCs w:val="20"/>
          <w:lang w:eastAsia="zh-CN"/>
          <w14:ligatures w14:val="none"/>
        </w:rPr>
        <w:t>Aspergillis niger</w:t>
      </w:r>
      <w:r>
        <w:rPr>
          <w:rFonts w:ascii="Arial" w:eastAsia="Times New Roman" w:hAnsi="Arial" w:cs="Arial"/>
          <w:sz w:val="20"/>
          <w:szCs w:val="20"/>
          <w14:ligatures w14:val="none"/>
        </w:rPr>
        <w:t xml:space="preserve"> (ATCC 9029), </w:t>
      </w:r>
      <w:r>
        <w:rPr>
          <w:rFonts w:ascii="Arial" w:eastAsia="Times New Roman" w:hAnsi="Arial" w:cs="Arial"/>
          <w:i/>
          <w:iCs/>
          <w:kern w:val="0"/>
          <w:sz w:val="20"/>
          <w:szCs w:val="20"/>
          <w:lang w:eastAsia="zh-CN"/>
          <w14:ligatures w14:val="none"/>
        </w:rPr>
        <w:t>Neurospora crassa</w:t>
      </w:r>
      <w:r>
        <w:rPr>
          <w:rFonts w:ascii="Arial" w:eastAsia="Times New Roman" w:hAnsi="Arial" w:cs="Arial"/>
          <w:sz w:val="20"/>
          <w:szCs w:val="20"/>
          <w14:ligatures w14:val="none"/>
        </w:rPr>
        <w:t xml:space="preserve"> (FGSC 2489), and </w:t>
      </w:r>
      <w:r>
        <w:rPr>
          <w:rFonts w:ascii="Arial" w:eastAsia="Times New Roman" w:hAnsi="Arial" w:cs="Arial"/>
          <w:i/>
          <w:iCs/>
          <w:kern w:val="0"/>
          <w:sz w:val="20"/>
          <w:szCs w:val="20"/>
          <w:lang w:eastAsia="zh-CN"/>
          <w14:ligatures w14:val="none"/>
        </w:rPr>
        <w:t>Trichoderma reesei</w:t>
      </w:r>
      <w:r>
        <w:rPr>
          <w:rFonts w:ascii="Arial" w:eastAsia="Times New Roman" w:hAnsi="Arial" w:cs="Arial"/>
          <w:sz w:val="20"/>
          <w:szCs w:val="20"/>
          <w14:ligatures w14:val="none"/>
        </w:rPr>
        <w:t xml:space="preserve"> (ATCC 13631), on mineral precipitation. </w:t>
      </w:r>
      <w:r>
        <w:rPr>
          <w:rFonts w:ascii="Arial" w:eastAsia="Times New Roman" w:hAnsi="Arial" w:cs="Arial"/>
          <w:color w:val="000000" w:themeColor="text1"/>
          <w:kern w:val="0"/>
          <w:sz w:val="20"/>
          <w:szCs w:val="20"/>
          <w14:ligatures w14:val="none"/>
        </w:rPr>
        <w:t xml:space="preserve">Figures 14 to 16 show the SEM images of three fungal mycelial samples. These SEM figures show that the fungal mycelial fibers seemed aggregate together due to drying of the samples, which is difficult to observe mycelial fibers in the images. Figure 17 shows the EDS analysis for </w:t>
      </w:r>
      <w:r>
        <w:rPr>
          <w:rFonts w:ascii="Arial" w:eastAsia="Times New Roman" w:hAnsi="Arial" w:cs="Arial"/>
          <w:i/>
          <w:iCs/>
          <w:color w:val="000000" w:themeColor="text1"/>
          <w:kern w:val="0"/>
          <w:sz w:val="20"/>
          <w:szCs w:val="20"/>
          <w14:ligatures w14:val="none"/>
        </w:rPr>
        <w:t>Neurospora crassa</w:t>
      </w:r>
      <w:r>
        <w:rPr>
          <w:rFonts w:ascii="Arial" w:eastAsia="Times New Roman" w:hAnsi="Arial" w:cs="Arial"/>
          <w:color w:val="000000" w:themeColor="text1"/>
          <w:kern w:val="0"/>
          <w:sz w:val="20"/>
          <w:szCs w:val="20"/>
          <w14:ligatures w14:val="none"/>
        </w:rPr>
        <w:t xml:space="preserve"> samples, which shows the presence of calcium minerals in the samples. </w:t>
      </w:r>
    </w:p>
    <w:p w14:paraId="65EA6BED" w14:textId="77777777" w:rsidR="00075928" w:rsidRDefault="00075928">
      <w:pPr>
        <w:rPr>
          <w:rFonts w:ascii="Arial" w:eastAsia="Times New Roman" w:hAnsi="Arial" w:cs="Arial"/>
          <w:color w:val="000000" w:themeColor="text1"/>
          <w:kern w:val="0"/>
          <w:sz w:val="20"/>
          <w:szCs w:val="20"/>
          <w:lang w:eastAsia="zh-CN"/>
          <w14:ligatures w14:val="none"/>
        </w:rPr>
      </w:pPr>
    </w:p>
    <w:p w14:paraId="65EA6BEE" w14:textId="77777777" w:rsidR="00075928" w:rsidRDefault="009932F3">
      <w:pPr>
        <w:pStyle w:val="ListParagraph"/>
        <w:ind w:left="0"/>
        <w:jc w:val="center"/>
        <w:rPr>
          <w:rFonts w:ascii="Arial" w:hAnsi="Arial" w:cs="Arial"/>
          <w:i/>
          <w:iCs/>
          <w:kern w:val="0"/>
          <w:sz w:val="20"/>
          <w:szCs w:val="20"/>
          <w:lang w:eastAsia="zh-CN"/>
          <w14:ligatures w14:val="none"/>
        </w:rPr>
      </w:pPr>
      <w:r>
        <w:rPr>
          <w:rFonts w:ascii="Arial" w:hAnsi="Arial" w:cs="Arial"/>
          <w:i/>
          <w:iCs/>
          <w:noProof/>
          <w:kern w:val="0"/>
          <w:sz w:val="20"/>
          <w:szCs w:val="20"/>
          <w:lang w:eastAsia="zh-CN"/>
          <w14:ligatures w14:val="none"/>
        </w:rPr>
        <w:drawing>
          <wp:inline distT="0" distB="0" distL="0" distR="0" wp14:anchorId="65EA6CBD" wp14:editId="65EA6CBE">
            <wp:extent cx="2343150" cy="2159635"/>
            <wp:effectExtent l="0" t="0" r="0" b="0"/>
            <wp:docPr id="237652915" name="Picture 17" descr="A close-up of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52915" name="Picture 17" descr="A close-up of a grey surface&#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r>
        <w:rPr>
          <w:rFonts w:ascii="Arial" w:hAnsi="Arial" w:cs="Arial"/>
          <w:i/>
          <w:iCs/>
          <w:noProof/>
          <w:kern w:val="0"/>
          <w:sz w:val="20"/>
          <w:szCs w:val="20"/>
          <w:lang w:eastAsia="zh-CN"/>
          <w14:ligatures w14:val="none"/>
        </w:rPr>
        <w:drawing>
          <wp:inline distT="0" distB="0" distL="0" distR="0" wp14:anchorId="65EA6CBF" wp14:editId="65EA6CC0">
            <wp:extent cx="2343150" cy="2159635"/>
            <wp:effectExtent l="0" t="0" r="0" b="0"/>
            <wp:docPr id="1910476415" name="Picture 18" descr="A close-up of a grey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476415" name="Picture 18" descr="A close-up of a grey rock&#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p>
    <w:p w14:paraId="65EA6BEF"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5</w:t>
      </w:r>
      <w:r>
        <w:rPr>
          <w:rFonts w:ascii="Arial" w:eastAsia="Times New Roman" w:hAnsi="Arial" w:cs="Arial"/>
          <w:b/>
          <w:bCs/>
          <w:kern w:val="0"/>
          <w:sz w:val="20"/>
          <w:szCs w:val="20"/>
          <w:lang w:eastAsia="zh-CN"/>
          <w14:ligatures w14:val="none"/>
        </w:rPr>
        <w:t xml:space="preserve">. SEM imaging of </w:t>
      </w:r>
      <w:r>
        <w:rPr>
          <w:rFonts w:ascii="Arial" w:eastAsia="Times New Roman" w:hAnsi="Arial" w:cs="Arial"/>
          <w:b/>
          <w:bCs/>
          <w:i/>
          <w:iCs/>
          <w:kern w:val="0"/>
          <w:sz w:val="20"/>
          <w:szCs w:val="20"/>
          <w:lang w:eastAsia="zh-CN"/>
          <w14:ligatures w14:val="none"/>
        </w:rPr>
        <w:t>Trichoderma reesei</w:t>
      </w:r>
      <w:r>
        <w:rPr>
          <w:rFonts w:ascii="Arial" w:eastAsia="Times New Roman" w:hAnsi="Arial" w:cs="Arial"/>
          <w:b/>
          <w:bCs/>
          <w:kern w:val="0"/>
          <w:sz w:val="20"/>
          <w:szCs w:val="20"/>
          <w:lang w:eastAsia="zh-CN"/>
          <w14:ligatures w14:val="none"/>
        </w:rPr>
        <w:t xml:space="preserve"> (ATCC 13631) retained on the filter paper.</w:t>
      </w:r>
    </w:p>
    <w:p w14:paraId="65EA6BF0" w14:textId="77777777" w:rsidR="00075928" w:rsidRDefault="009932F3">
      <w:pPr>
        <w:pStyle w:val="ListParagraph"/>
        <w:ind w:left="0"/>
        <w:jc w:val="center"/>
        <w:rPr>
          <w:lang w:eastAsia="zh-CN"/>
        </w:rPr>
      </w:pPr>
      <w:r>
        <w:rPr>
          <w:rFonts w:ascii="Arial" w:hAnsi="Arial" w:cs="Arial"/>
          <w:i/>
          <w:iCs/>
          <w:noProof/>
          <w:kern w:val="0"/>
          <w:sz w:val="20"/>
          <w:szCs w:val="20"/>
          <w:lang w:eastAsia="zh-CN"/>
          <w14:ligatures w14:val="none"/>
        </w:rPr>
        <w:lastRenderedPageBreak/>
        <w:drawing>
          <wp:inline distT="0" distB="0" distL="0" distR="0" wp14:anchorId="65EA6CC1" wp14:editId="65EA6CC2">
            <wp:extent cx="2343150" cy="2159635"/>
            <wp:effectExtent l="0" t="0" r="0" b="0"/>
            <wp:docPr id="347410035" name="Picture 12" descr="A close-up of a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10035" name="Picture 12" descr="A close-up of a surfac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r>
        <w:rPr>
          <w:rFonts w:ascii="Arial" w:hAnsi="Arial" w:cs="Arial"/>
          <w:i/>
          <w:iCs/>
          <w:noProof/>
          <w:kern w:val="0"/>
          <w:sz w:val="20"/>
          <w:szCs w:val="20"/>
          <w:lang w:eastAsia="zh-CN"/>
          <w14:ligatures w14:val="none"/>
        </w:rPr>
        <w:drawing>
          <wp:inline distT="0" distB="0" distL="0" distR="0" wp14:anchorId="65EA6CC3" wp14:editId="65EA6CC4">
            <wp:extent cx="2343150" cy="2159635"/>
            <wp:effectExtent l="0" t="0" r="0" b="0"/>
            <wp:docPr id="971898836" name="Picture 14" descr="A close-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98836" name="Picture 14" descr="A close-up of a grey surfac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p>
    <w:p w14:paraId="65EA6BF1"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6</w:t>
      </w:r>
      <w:r>
        <w:rPr>
          <w:rFonts w:ascii="Arial" w:eastAsia="Times New Roman" w:hAnsi="Arial" w:cs="Arial"/>
          <w:b/>
          <w:bCs/>
          <w:kern w:val="0"/>
          <w:sz w:val="20"/>
          <w:szCs w:val="20"/>
          <w:lang w:eastAsia="zh-CN"/>
          <w14:ligatures w14:val="none"/>
        </w:rPr>
        <w:t xml:space="preserve">. SEM imaging of </w:t>
      </w:r>
      <w:r>
        <w:rPr>
          <w:rFonts w:ascii="Arial" w:eastAsia="Times New Roman" w:hAnsi="Arial" w:cs="Arial"/>
          <w:b/>
          <w:bCs/>
          <w:i/>
          <w:iCs/>
          <w:kern w:val="0"/>
          <w:sz w:val="20"/>
          <w:szCs w:val="20"/>
          <w:lang w:eastAsia="zh-CN"/>
          <w14:ligatures w14:val="none"/>
        </w:rPr>
        <w:t>Aspergillis niger</w:t>
      </w:r>
      <w:r>
        <w:rPr>
          <w:rFonts w:ascii="Arial" w:eastAsia="Times New Roman" w:hAnsi="Arial" w:cs="Arial"/>
          <w:b/>
          <w:bCs/>
          <w:kern w:val="0"/>
          <w:sz w:val="20"/>
          <w:szCs w:val="20"/>
          <w:lang w:eastAsia="zh-CN"/>
          <w14:ligatures w14:val="none"/>
        </w:rPr>
        <w:t xml:space="preserve"> (ATCC 9029)</w:t>
      </w:r>
    </w:p>
    <w:p w14:paraId="65EA6BF2" w14:textId="77777777" w:rsidR="00075928" w:rsidRDefault="00075928">
      <w:pPr>
        <w:pStyle w:val="ListParagraph"/>
        <w:ind w:left="0"/>
        <w:jc w:val="center"/>
        <w:rPr>
          <w:rFonts w:ascii="Arial" w:eastAsia="Times New Roman" w:hAnsi="Arial" w:cs="Arial"/>
          <w:b/>
          <w:bCs/>
          <w:kern w:val="0"/>
          <w:sz w:val="20"/>
          <w:szCs w:val="20"/>
          <w:lang w:eastAsia="zh-CN"/>
          <w14:ligatures w14:val="none"/>
        </w:rPr>
      </w:pPr>
    </w:p>
    <w:p w14:paraId="65EA6BF3" w14:textId="77777777" w:rsidR="00075928" w:rsidRDefault="009932F3">
      <w:pPr>
        <w:pStyle w:val="ListParagraph"/>
        <w:ind w:left="0"/>
        <w:jc w:val="center"/>
        <w:rPr>
          <w:rFonts w:ascii="Arial" w:hAnsi="Arial" w:cs="Arial"/>
          <w:i/>
          <w:iCs/>
          <w:kern w:val="0"/>
          <w:sz w:val="20"/>
          <w:szCs w:val="20"/>
          <w:lang w:eastAsia="zh-CN"/>
          <w14:ligatures w14:val="none"/>
        </w:rPr>
      </w:pPr>
      <w:r>
        <w:rPr>
          <w:rFonts w:ascii="Arial" w:hAnsi="Arial" w:cs="Arial"/>
          <w:i/>
          <w:iCs/>
          <w:noProof/>
          <w:kern w:val="0"/>
          <w:sz w:val="20"/>
          <w:szCs w:val="20"/>
          <w:lang w:eastAsia="zh-CN"/>
          <w14:ligatures w14:val="none"/>
        </w:rPr>
        <w:drawing>
          <wp:inline distT="0" distB="0" distL="0" distR="0" wp14:anchorId="65EA6CC5" wp14:editId="65EA6CC6">
            <wp:extent cx="2343150" cy="2159635"/>
            <wp:effectExtent l="0" t="0" r="0" b="0"/>
            <wp:docPr id="1577400226" name="Picture 15" descr="A close-up of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00226" name="Picture 15" descr="A close-up of a grey surfac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r>
        <w:rPr>
          <w:rFonts w:ascii="Arial" w:hAnsi="Arial" w:cs="Arial"/>
          <w:i/>
          <w:iCs/>
          <w:noProof/>
          <w:kern w:val="0"/>
          <w:sz w:val="20"/>
          <w:szCs w:val="20"/>
          <w:lang w:eastAsia="zh-CN"/>
          <w14:ligatures w14:val="none"/>
        </w:rPr>
        <w:drawing>
          <wp:inline distT="0" distB="0" distL="0" distR="0" wp14:anchorId="65EA6CC7" wp14:editId="65EA6CC8">
            <wp:extent cx="2343150" cy="2159635"/>
            <wp:effectExtent l="0" t="0" r="0" b="0"/>
            <wp:docPr id="89245274" name="Picture 16" descr="Close-up of a microscope view of a gra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5274" name="Picture 16" descr="Close-up of a microscope view of a gray surfac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343600" cy="2160000"/>
                    </a:xfrm>
                    <a:prstGeom prst="rect">
                      <a:avLst/>
                    </a:prstGeom>
                    <a:noFill/>
                    <a:ln>
                      <a:noFill/>
                    </a:ln>
                  </pic:spPr>
                </pic:pic>
              </a:graphicData>
            </a:graphic>
          </wp:inline>
        </w:drawing>
      </w:r>
    </w:p>
    <w:p w14:paraId="65EA6BF4" w14:textId="77777777" w:rsidR="00075928" w:rsidRDefault="009932F3">
      <w:pPr>
        <w:pStyle w:val="ListParagraph"/>
        <w:ind w:left="0"/>
        <w:jc w:val="center"/>
        <w:rPr>
          <w:rFonts w:ascii="Arial" w:hAnsi="Arial" w:cs="Arial"/>
          <w:i/>
          <w:i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7</w:t>
      </w:r>
      <w:r>
        <w:rPr>
          <w:rFonts w:ascii="Arial" w:eastAsia="Times New Roman" w:hAnsi="Arial" w:cs="Arial"/>
          <w:b/>
          <w:bCs/>
          <w:kern w:val="0"/>
          <w:sz w:val="20"/>
          <w:szCs w:val="20"/>
          <w:lang w:eastAsia="zh-CN"/>
          <w14:ligatures w14:val="none"/>
        </w:rPr>
        <w:t xml:space="preserve">. SEM imaging of </w:t>
      </w:r>
      <w:r>
        <w:rPr>
          <w:rFonts w:ascii="Arial" w:eastAsia="Times New Roman" w:hAnsi="Arial" w:cs="Arial"/>
          <w:b/>
          <w:bCs/>
          <w:i/>
          <w:iCs/>
          <w:kern w:val="0"/>
          <w:sz w:val="20"/>
          <w:szCs w:val="20"/>
          <w:lang w:eastAsia="zh-CN"/>
          <w14:ligatures w14:val="none"/>
        </w:rPr>
        <w:t>Neurospora crassa</w:t>
      </w:r>
      <w:r>
        <w:rPr>
          <w:rFonts w:ascii="Arial" w:eastAsia="Times New Roman" w:hAnsi="Arial" w:cs="Arial"/>
          <w:b/>
          <w:bCs/>
          <w:kern w:val="0"/>
          <w:sz w:val="20"/>
          <w:szCs w:val="20"/>
          <w:lang w:eastAsia="zh-CN"/>
          <w14:ligatures w14:val="none"/>
        </w:rPr>
        <w:t xml:space="preserve"> (FGSC 2489).</w:t>
      </w:r>
    </w:p>
    <w:p w14:paraId="65EA6BF5" w14:textId="77777777" w:rsidR="00075928" w:rsidRDefault="009932F3">
      <w:pPr>
        <w:pStyle w:val="ListParagraph"/>
        <w:ind w:left="0"/>
        <w:jc w:val="center"/>
        <w:rPr>
          <w:rFonts w:ascii="Arial" w:hAnsi="Arial" w:cs="Arial"/>
          <w:i/>
          <w:iCs/>
          <w:kern w:val="0"/>
          <w:sz w:val="20"/>
          <w:szCs w:val="20"/>
          <w:lang w:eastAsia="zh-CN"/>
          <w14:ligatures w14:val="none"/>
        </w:rPr>
      </w:pPr>
      <w:r>
        <w:rPr>
          <w:noProof/>
          <w:sz w:val="20"/>
          <w:szCs w:val="20"/>
        </w:rPr>
        <w:drawing>
          <wp:inline distT="0" distB="0" distL="0" distR="0" wp14:anchorId="65EA6CC9" wp14:editId="65EA6CCA">
            <wp:extent cx="2159635" cy="1576705"/>
            <wp:effectExtent l="0" t="0" r="0" b="4445"/>
            <wp:docPr id="3" name="Picture 2" descr="Image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002.jpg"/>
                    <pic:cNvPicPr>
                      <a:picLocks noChangeAspect="1"/>
                    </pic:cNvPicPr>
                  </pic:nvPicPr>
                  <pic:blipFill>
                    <a:blip r:embed="rId30" cstate="print"/>
                    <a:stretch>
                      <a:fillRect/>
                    </a:stretch>
                  </pic:blipFill>
                  <pic:spPr>
                    <a:xfrm>
                      <a:off x="0" y="0"/>
                      <a:ext cx="2160000" cy="1576800"/>
                    </a:xfrm>
                    <a:prstGeom prst="rect">
                      <a:avLst/>
                    </a:prstGeom>
                  </pic:spPr>
                </pic:pic>
              </a:graphicData>
            </a:graphic>
          </wp:inline>
        </w:drawing>
      </w:r>
      <w:r>
        <w:rPr>
          <w:noProof/>
          <w:sz w:val="20"/>
          <w:szCs w:val="20"/>
        </w:rPr>
        <w:drawing>
          <wp:inline distT="0" distB="0" distL="0" distR="0" wp14:anchorId="65EA6CCB" wp14:editId="65EA6CCC">
            <wp:extent cx="2155825" cy="1577340"/>
            <wp:effectExtent l="0" t="0" r="0" b="3810"/>
            <wp:docPr id="4" name="Picture 3" descr="Image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age00003.jpg"/>
                    <pic:cNvPicPr>
                      <a:picLocks noChangeAspect="1"/>
                    </pic:cNvPicPr>
                  </pic:nvPicPr>
                  <pic:blipFill>
                    <a:blip r:embed="rId31" cstate="print"/>
                    <a:srcRect l="147" t="6756" r="-1"/>
                    <a:stretch>
                      <a:fillRect/>
                    </a:stretch>
                  </pic:blipFill>
                  <pic:spPr>
                    <a:xfrm>
                      <a:off x="0" y="0"/>
                      <a:ext cx="2156824" cy="1577676"/>
                    </a:xfrm>
                    <a:prstGeom prst="rect">
                      <a:avLst/>
                    </a:prstGeom>
                    <a:ln>
                      <a:noFill/>
                    </a:ln>
                  </pic:spPr>
                </pic:pic>
              </a:graphicData>
            </a:graphic>
          </wp:inline>
        </w:drawing>
      </w:r>
      <w:r>
        <w:rPr>
          <w:noProof/>
          <w:sz w:val="20"/>
          <w:szCs w:val="20"/>
        </w:rPr>
        <w:drawing>
          <wp:inline distT="0" distB="0" distL="0" distR="0" wp14:anchorId="65EA6CCD" wp14:editId="65EA6CCE">
            <wp:extent cx="1079500" cy="751840"/>
            <wp:effectExtent l="0" t="0" r="6350" b="0"/>
            <wp:docPr id="5" name="Picture 4" descr="Image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00004.jpg"/>
                    <pic:cNvPicPr>
                      <a:picLocks noChangeAspect="1"/>
                    </pic:cNvPicPr>
                  </pic:nvPicPr>
                  <pic:blipFill>
                    <a:blip r:embed="rId32" cstate="print"/>
                    <a:stretch>
                      <a:fillRect/>
                    </a:stretch>
                  </pic:blipFill>
                  <pic:spPr>
                    <a:xfrm>
                      <a:off x="0" y="0"/>
                      <a:ext cx="1080000" cy="752400"/>
                    </a:xfrm>
                    <a:prstGeom prst="rect">
                      <a:avLst/>
                    </a:prstGeom>
                  </pic:spPr>
                </pic:pic>
              </a:graphicData>
            </a:graphic>
          </wp:inline>
        </w:drawing>
      </w:r>
    </w:p>
    <w:p w14:paraId="65EA6BF6" w14:textId="77777777" w:rsidR="00075928" w:rsidRDefault="009932F3">
      <w:pPr>
        <w:pStyle w:val="ListParagraph"/>
        <w:ind w:left="0"/>
        <w:jc w:val="center"/>
        <w:rPr>
          <w:rFonts w:ascii="Arial" w:hAnsi="Arial" w:cs="Arial"/>
          <w:i/>
          <w:iCs/>
          <w:kern w:val="0"/>
          <w:sz w:val="20"/>
          <w:szCs w:val="20"/>
          <w:lang w:eastAsia="zh-CN"/>
          <w14:ligatures w14:val="none"/>
        </w:rPr>
      </w:pPr>
      <w:r>
        <w:rPr>
          <w:rFonts w:ascii="Arial" w:hAnsi="Arial" w:cs="Arial"/>
          <w:i/>
          <w:iCs/>
          <w:noProof/>
          <w:kern w:val="0"/>
          <w:sz w:val="20"/>
          <w:szCs w:val="20"/>
          <w:lang w:eastAsia="zh-CN"/>
          <w14:ligatures w14:val="none"/>
        </w:rPr>
        <w:drawing>
          <wp:inline distT="0" distB="0" distL="0" distR="0" wp14:anchorId="65EA6CCF" wp14:editId="65EA6CD0">
            <wp:extent cx="2159635" cy="1720215"/>
            <wp:effectExtent l="0" t="0" r="12065" b="6985"/>
            <wp:docPr id="14032891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89174" name="Picture 1" descr="A screenshot of a computer screen&#10;&#10;Description automatically generated"/>
                    <pic:cNvPicPr>
                      <a:picLocks noChangeAspect="1"/>
                    </pic:cNvPicPr>
                  </pic:nvPicPr>
                  <pic:blipFill>
                    <a:blip r:embed="rId33"/>
                    <a:stretch>
                      <a:fillRect/>
                    </a:stretch>
                  </pic:blipFill>
                  <pic:spPr>
                    <a:xfrm>
                      <a:off x="0" y="0"/>
                      <a:ext cx="2160000" cy="1720800"/>
                    </a:xfrm>
                    <a:prstGeom prst="rect">
                      <a:avLst/>
                    </a:prstGeom>
                  </pic:spPr>
                </pic:pic>
              </a:graphicData>
            </a:graphic>
          </wp:inline>
        </w:drawing>
      </w:r>
      <w:r>
        <w:rPr>
          <w:noProof/>
          <w:sz w:val="20"/>
          <w:szCs w:val="20"/>
        </w:rPr>
        <w:drawing>
          <wp:inline distT="0" distB="0" distL="0" distR="0" wp14:anchorId="65EA6CD1" wp14:editId="65EA6CD2">
            <wp:extent cx="2159635" cy="1691640"/>
            <wp:effectExtent l="0" t="0" r="12065" b="10160"/>
            <wp:docPr id="9" name="Picture 8" descr="Image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mage00008.jpg"/>
                    <pic:cNvPicPr>
                      <a:picLocks noChangeAspect="1"/>
                    </pic:cNvPicPr>
                  </pic:nvPicPr>
                  <pic:blipFill>
                    <a:blip r:embed="rId34" cstate="print"/>
                    <a:stretch>
                      <a:fillRect/>
                    </a:stretch>
                  </pic:blipFill>
                  <pic:spPr>
                    <a:xfrm>
                      <a:off x="0" y="0"/>
                      <a:ext cx="2160000" cy="1692000"/>
                    </a:xfrm>
                    <a:prstGeom prst="rect">
                      <a:avLst/>
                    </a:prstGeom>
                  </pic:spPr>
                </pic:pic>
              </a:graphicData>
            </a:graphic>
          </wp:inline>
        </w:drawing>
      </w:r>
      <w:r>
        <w:rPr>
          <w:noProof/>
          <w:sz w:val="20"/>
          <w:szCs w:val="20"/>
        </w:rPr>
        <w:drawing>
          <wp:inline distT="0" distB="0" distL="0" distR="0" wp14:anchorId="65EA6CD3" wp14:editId="65EA6CD4">
            <wp:extent cx="1079500" cy="751840"/>
            <wp:effectExtent l="0" t="0" r="6350" b="0"/>
            <wp:docPr id="10" name="Picture 9" descr="Image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mage00009.jpg"/>
                    <pic:cNvPicPr>
                      <a:picLocks noChangeAspect="1"/>
                    </pic:cNvPicPr>
                  </pic:nvPicPr>
                  <pic:blipFill>
                    <a:blip r:embed="rId35" cstate="print"/>
                    <a:stretch>
                      <a:fillRect/>
                    </a:stretch>
                  </pic:blipFill>
                  <pic:spPr>
                    <a:xfrm>
                      <a:off x="0" y="0"/>
                      <a:ext cx="1080000" cy="752400"/>
                    </a:xfrm>
                    <a:prstGeom prst="rect">
                      <a:avLst/>
                    </a:prstGeom>
                  </pic:spPr>
                </pic:pic>
              </a:graphicData>
            </a:graphic>
          </wp:inline>
        </w:drawing>
      </w:r>
    </w:p>
    <w:p w14:paraId="65EA6BF7" w14:textId="77777777" w:rsidR="00075928" w:rsidRDefault="009932F3">
      <w:pPr>
        <w:pStyle w:val="ListParagraph"/>
        <w:ind w:left="0"/>
        <w:jc w:val="cente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8</w:t>
      </w:r>
      <w:r>
        <w:rPr>
          <w:rFonts w:ascii="Arial" w:eastAsia="Times New Roman" w:hAnsi="Arial" w:cs="Arial"/>
          <w:b/>
          <w:bCs/>
          <w:kern w:val="0"/>
          <w:sz w:val="20"/>
          <w:szCs w:val="20"/>
          <w:lang w:eastAsia="zh-CN"/>
          <w14:ligatures w14:val="none"/>
        </w:rPr>
        <w:t>. EDS results of Neurospora crassa (FGSC 2489).</w:t>
      </w:r>
    </w:p>
    <w:p w14:paraId="65EA6BF8" w14:textId="77777777" w:rsidR="00075928" w:rsidRDefault="00075928">
      <w:pPr>
        <w:rPr>
          <w:rFonts w:ascii="Arial" w:eastAsia="Times New Roman" w:hAnsi="Arial" w:cs="Arial"/>
          <w:kern w:val="0"/>
          <w:sz w:val="20"/>
          <w:szCs w:val="20"/>
          <w14:ligatures w14:val="none"/>
        </w:rPr>
      </w:pPr>
    </w:p>
    <w:p w14:paraId="65EA6BF9" w14:textId="77777777" w:rsidR="00075928" w:rsidRDefault="009932F3">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X-ray powder diffraction (XRD) analysis results of three fungal strain samples are shown in Figure 1</w:t>
      </w:r>
      <w:r>
        <w:rPr>
          <w:rFonts w:ascii="Arial" w:hAnsi="Arial" w:cs="Arial" w:hint="eastAsia"/>
          <w:kern w:val="0"/>
          <w:sz w:val="20"/>
          <w:szCs w:val="20"/>
          <w:lang w:eastAsia="zh-CN"/>
          <w14:ligatures w14:val="none"/>
        </w:rPr>
        <w:t>9</w:t>
      </w:r>
      <w:r>
        <w:rPr>
          <w:rFonts w:ascii="Arial" w:eastAsia="Times New Roman" w:hAnsi="Arial" w:cs="Arial"/>
          <w:kern w:val="0"/>
          <w:sz w:val="20"/>
          <w:szCs w:val="20"/>
          <w14:ligatures w14:val="none"/>
        </w:rPr>
        <w:t xml:space="preserve">. It shows that </w:t>
      </w:r>
      <w:r>
        <w:rPr>
          <w:rFonts w:ascii="Arial" w:eastAsia="Times New Roman" w:hAnsi="Arial" w:cs="Arial"/>
          <w:i/>
          <w:iCs/>
          <w:kern w:val="0"/>
          <w:sz w:val="20"/>
          <w:szCs w:val="20"/>
          <w14:ligatures w14:val="none"/>
        </w:rPr>
        <w:t>Neurospora crassa</w:t>
      </w:r>
      <w:r>
        <w:rPr>
          <w:rFonts w:ascii="Arial" w:eastAsia="Times New Roman" w:hAnsi="Arial" w:cs="Arial"/>
          <w:kern w:val="0"/>
          <w:sz w:val="20"/>
          <w:szCs w:val="20"/>
          <w14:ligatures w14:val="none"/>
        </w:rPr>
        <w:t xml:space="preserve"> can form calcite (CaCO</w:t>
      </w:r>
      <w:r>
        <w:rPr>
          <w:rFonts w:ascii="Arial" w:eastAsia="Times New Roman" w:hAnsi="Arial" w:cs="Arial"/>
          <w:kern w:val="0"/>
          <w:sz w:val="20"/>
          <w:szCs w:val="20"/>
          <w:vertAlign w:val="subscript"/>
          <w14:ligatures w14:val="none"/>
        </w:rPr>
        <w:t>3</w:t>
      </w:r>
      <w:r>
        <w:rPr>
          <w:rFonts w:ascii="Arial" w:eastAsia="Times New Roman" w:hAnsi="Arial" w:cs="Arial"/>
          <w:kern w:val="0"/>
          <w:sz w:val="20"/>
          <w:szCs w:val="20"/>
          <w14:ligatures w14:val="none"/>
        </w:rPr>
        <w:t xml:space="preserve">). </w:t>
      </w:r>
      <w:r>
        <w:rPr>
          <w:rFonts w:ascii="Arial" w:eastAsia="Times New Roman" w:hAnsi="Arial" w:cs="Arial"/>
          <w:i/>
          <w:iCs/>
          <w:kern w:val="0"/>
          <w:sz w:val="20"/>
          <w:szCs w:val="20"/>
          <w14:ligatures w14:val="none"/>
        </w:rPr>
        <w:t>Aspergillis niger</w:t>
      </w:r>
      <w:r>
        <w:rPr>
          <w:rFonts w:ascii="Arial" w:eastAsia="Times New Roman" w:hAnsi="Arial" w:cs="Arial"/>
          <w:kern w:val="0"/>
          <w:sz w:val="20"/>
          <w:szCs w:val="20"/>
          <w14:ligatures w14:val="none"/>
        </w:rPr>
        <w:t xml:space="preserve"> can produce calcium oxalate. But </w:t>
      </w:r>
      <w:r>
        <w:rPr>
          <w:rFonts w:ascii="Arial" w:eastAsia="Times New Roman" w:hAnsi="Arial" w:cs="Arial"/>
          <w:i/>
          <w:iCs/>
          <w:kern w:val="0"/>
          <w:sz w:val="20"/>
          <w:szCs w:val="20"/>
          <w14:ligatures w14:val="none"/>
        </w:rPr>
        <w:t>Trichoderma reesei</w:t>
      </w:r>
      <w:r>
        <w:rPr>
          <w:rFonts w:ascii="Arial" w:eastAsia="Times New Roman" w:hAnsi="Arial" w:cs="Arial"/>
          <w:kern w:val="0"/>
          <w:sz w:val="20"/>
          <w:szCs w:val="20"/>
          <w14:ligatures w14:val="none"/>
        </w:rPr>
        <w:t xml:space="preserve"> cannot precipitate calcium-based minerals. This indicates that both </w:t>
      </w:r>
      <w:r>
        <w:rPr>
          <w:rFonts w:ascii="Arial" w:eastAsia="Times New Roman" w:hAnsi="Arial" w:cs="Arial"/>
          <w:i/>
          <w:iCs/>
          <w:kern w:val="0"/>
          <w:sz w:val="20"/>
          <w:szCs w:val="20"/>
          <w14:ligatures w14:val="none"/>
        </w:rPr>
        <w:t>Neurospora crassa</w:t>
      </w:r>
      <w:r>
        <w:rPr>
          <w:rFonts w:ascii="Arial" w:eastAsia="Times New Roman" w:hAnsi="Arial" w:cs="Arial"/>
          <w:kern w:val="0"/>
          <w:sz w:val="20"/>
          <w:szCs w:val="20"/>
          <w14:ligatures w14:val="none"/>
        </w:rPr>
        <w:t xml:space="preserve"> and </w:t>
      </w:r>
      <w:r>
        <w:rPr>
          <w:rFonts w:ascii="Arial" w:eastAsia="Times New Roman" w:hAnsi="Arial" w:cs="Arial"/>
          <w:i/>
          <w:iCs/>
          <w:kern w:val="0"/>
          <w:sz w:val="20"/>
          <w:szCs w:val="20"/>
          <w14:ligatures w14:val="none"/>
        </w:rPr>
        <w:t>Aspergillis niger</w:t>
      </w:r>
      <w:r>
        <w:rPr>
          <w:rFonts w:ascii="Arial" w:eastAsia="Times New Roman" w:hAnsi="Arial" w:cs="Arial"/>
          <w:kern w:val="0"/>
          <w:sz w:val="20"/>
          <w:szCs w:val="20"/>
          <w14:ligatures w14:val="none"/>
        </w:rPr>
        <w:t xml:space="preserve"> can form calcium based mineral precipitation, which can be used for testing self-healing cement mortar later. </w:t>
      </w:r>
    </w:p>
    <w:p w14:paraId="65EA6BFA" w14:textId="77777777" w:rsidR="00075928" w:rsidRDefault="00075928">
      <w:pPr>
        <w:rPr>
          <w:rFonts w:ascii="Arial" w:eastAsia="Times New Roman" w:hAnsi="Arial" w:cs="Arial"/>
          <w:kern w:val="0"/>
          <w:sz w:val="20"/>
          <w:szCs w:val="20"/>
          <w14:ligatures w14:val="none"/>
        </w:rPr>
      </w:pPr>
    </w:p>
    <w:p w14:paraId="65EA6BFB" w14:textId="77777777" w:rsidR="00075928" w:rsidRDefault="00075928">
      <w:pPr>
        <w:rPr>
          <w:rFonts w:ascii="Arial" w:eastAsia="Times New Roman" w:hAnsi="Arial" w:cs="Arial"/>
          <w:kern w:val="0"/>
          <w:sz w:val="20"/>
          <w:szCs w:val="20"/>
          <w14:ligatures w14:val="none"/>
        </w:rPr>
      </w:pPr>
    </w:p>
    <w:p w14:paraId="65EA6BFC" w14:textId="77777777" w:rsidR="00075928" w:rsidRDefault="009932F3">
      <w:pPr>
        <w:jc w:val="center"/>
        <w:rPr>
          <w:rFonts w:ascii="Arial" w:eastAsia="Times New Roman" w:hAnsi="Arial" w:cs="Arial"/>
          <w:kern w:val="0"/>
          <w:sz w:val="20"/>
          <w:szCs w:val="20"/>
          <w14:ligatures w14:val="none"/>
        </w:rPr>
      </w:pPr>
      <w:r>
        <w:rPr>
          <w:rFonts w:ascii="Arial" w:eastAsia="Times New Roman" w:hAnsi="Arial" w:cs="Arial"/>
          <w:i/>
          <w:iCs/>
          <w:noProof/>
          <w:kern w:val="0"/>
          <w:sz w:val="22"/>
          <w:szCs w:val="22"/>
          <w:lang w:eastAsia="zh-CN"/>
          <w14:ligatures w14:val="none"/>
        </w:rPr>
        <w:drawing>
          <wp:inline distT="0" distB="0" distL="0" distR="0" wp14:anchorId="65EA6CD5" wp14:editId="65EA6CD6">
            <wp:extent cx="3598545" cy="5486400"/>
            <wp:effectExtent l="0" t="0" r="8255" b="0"/>
            <wp:docPr id="184031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10595" name="Picture 1"/>
                    <pic:cNvPicPr>
                      <a:picLocks noChangeAspect="1"/>
                    </pic:cNvPicPr>
                  </pic:nvPicPr>
                  <pic:blipFill>
                    <a:blip r:embed="rId36"/>
                    <a:srcRect r="13520"/>
                    <a:stretch>
                      <a:fillRect/>
                    </a:stretch>
                  </pic:blipFill>
                  <pic:spPr>
                    <a:xfrm>
                      <a:off x="0" y="0"/>
                      <a:ext cx="3598545" cy="5486400"/>
                    </a:xfrm>
                    <a:prstGeom prst="rect">
                      <a:avLst/>
                    </a:prstGeom>
                    <a:ln>
                      <a:noFill/>
                    </a:ln>
                  </pic:spPr>
                </pic:pic>
              </a:graphicData>
            </a:graphic>
          </wp:inline>
        </w:drawing>
      </w:r>
    </w:p>
    <w:p w14:paraId="65EA6BFD"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Figure 1</w:t>
      </w:r>
      <w:r>
        <w:rPr>
          <w:rFonts w:ascii="Arial" w:eastAsia="Times New Roman" w:hAnsi="Arial" w:cs="Arial" w:hint="eastAsia"/>
          <w:b/>
          <w:bCs/>
          <w:kern w:val="0"/>
          <w:sz w:val="20"/>
          <w:szCs w:val="20"/>
          <w:lang w:eastAsia="zh-CN"/>
          <w14:ligatures w14:val="none"/>
        </w:rPr>
        <w:t>9</w:t>
      </w:r>
      <w:r>
        <w:rPr>
          <w:rFonts w:ascii="Arial" w:eastAsia="Times New Roman" w:hAnsi="Arial" w:cs="Arial"/>
          <w:b/>
          <w:bCs/>
          <w:kern w:val="0"/>
          <w:sz w:val="20"/>
          <w:szCs w:val="20"/>
          <w:lang w:eastAsia="zh-CN"/>
          <w14:ligatures w14:val="none"/>
        </w:rPr>
        <w:t>. XRD results of three fungal strains.</w:t>
      </w:r>
    </w:p>
    <w:p w14:paraId="65EA6BFE" w14:textId="77777777" w:rsidR="00075928" w:rsidRDefault="00075928">
      <w:pPr>
        <w:pStyle w:val="ListParagraph"/>
        <w:ind w:left="0"/>
        <w:jc w:val="center"/>
      </w:pPr>
    </w:p>
    <w:p w14:paraId="65EA6BFF" w14:textId="77777777" w:rsidR="00075928" w:rsidRDefault="009932F3" w:rsidP="00434EEE">
      <w:pPr>
        <w:pStyle w:val="Heading2"/>
      </w:pPr>
      <w:bookmarkStart w:id="17" w:name="_Toc204250349"/>
      <w:r>
        <w:t>5.2. Task 2. Investigating the performance of three fungal strains to induce mineral precipitation on the cement mortar surface.</w:t>
      </w:r>
      <w:bookmarkEnd w:id="17"/>
    </w:p>
    <w:p w14:paraId="65EA6C00" w14:textId="77777777" w:rsidR="00075928" w:rsidRDefault="00075928">
      <w:pPr>
        <w:rPr>
          <w:rFonts w:ascii="Arial" w:hAnsi="Arial" w:cs="Arial"/>
          <w:color w:val="000000" w:themeColor="text1"/>
          <w:kern w:val="0"/>
          <w:sz w:val="22"/>
          <w:szCs w:val="22"/>
          <w:lang w:eastAsia="zh-CN"/>
          <w14:ligatures w14:val="none"/>
        </w:rPr>
      </w:pPr>
    </w:p>
    <w:p w14:paraId="65EA6C01" w14:textId="77777777" w:rsidR="00075928" w:rsidRPr="00434EEE" w:rsidRDefault="009932F3">
      <w:pPr>
        <w:rPr>
          <w:rFonts w:ascii="Arial" w:hAnsi="Arial" w:cs="Arial"/>
          <w:color w:val="000000" w:themeColor="text1"/>
          <w:kern w:val="0"/>
          <w:sz w:val="20"/>
          <w:szCs w:val="20"/>
          <w:lang w:eastAsia="zh-CN"/>
          <w14:ligatures w14:val="none"/>
        </w:rPr>
      </w:pPr>
      <w:r w:rsidRPr="00434EEE">
        <w:rPr>
          <w:rFonts w:ascii="Arial" w:hAnsi="Arial" w:cs="Arial"/>
          <w:color w:val="000000" w:themeColor="text1"/>
          <w:kern w:val="0"/>
          <w:sz w:val="20"/>
          <w:szCs w:val="20"/>
          <w:lang w:eastAsia="zh-CN"/>
          <w14:ligatures w14:val="none"/>
        </w:rPr>
        <w:t xml:space="preserve">Figures 20 shows the fungal growth process in the petri dishes with time. In the top row of each figure, the three petri dishes correspond to </w:t>
      </w:r>
      <w:r w:rsidRPr="00434EEE">
        <w:rPr>
          <w:rFonts w:ascii="Arial" w:hAnsi="Arial" w:cs="Arial"/>
          <w:i/>
          <w:iCs/>
          <w:color w:val="000000" w:themeColor="text1"/>
          <w:kern w:val="0"/>
          <w:sz w:val="20"/>
          <w:szCs w:val="20"/>
          <w:lang w:eastAsia="zh-CN"/>
          <w14:ligatures w14:val="none"/>
        </w:rPr>
        <w:t>Aspergillus niger</w:t>
      </w:r>
      <w:r w:rsidRPr="00434EEE">
        <w:rPr>
          <w:rFonts w:ascii="Arial" w:hAnsi="Arial" w:cs="Arial"/>
          <w:color w:val="000000" w:themeColor="text1"/>
          <w:kern w:val="0"/>
          <w:sz w:val="20"/>
          <w:szCs w:val="20"/>
          <w:lang w:eastAsia="zh-CN"/>
          <w14:ligatures w14:val="none"/>
        </w:rPr>
        <w:t xml:space="preserve">, while the bottom row corresponds to </w:t>
      </w:r>
      <w:r w:rsidRPr="00434EEE">
        <w:rPr>
          <w:rFonts w:ascii="Arial" w:hAnsi="Arial" w:cs="Arial"/>
          <w:i/>
          <w:iCs/>
          <w:color w:val="000000" w:themeColor="text1"/>
          <w:kern w:val="0"/>
          <w:sz w:val="20"/>
          <w:szCs w:val="20"/>
          <w:lang w:eastAsia="zh-CN"/>
          <w14:ligatures w14:val="none"/>
        </w:rPr>
        <w:t>Neurospora crassa</w:t>
      </w:r>
      <w:r w:rsidRPr="00434EEE">
        <w:rPr>
          <w:rFonts w:ascii="Arial" w:hAnsi="Arial" w:cs="Arial"/>
          <w:color w:val="000000" w:themeColor="text1"/>
          <w:kern w:val="0"/>
          <w:sz w:val="20"/>
          <w:szCs w:val="20"/>
          <w:lang w:eastAsia="zh-CN"/>
          <w14:ligatures w14:val="none"/>
        </w:rPr>
        <w:t xml:space="preserve">. The petri dish on the right of cement mortar petri dishes in both rows served as a blank control sample without Portland cement. </w:t>
      </w:r>
      <w:r w:rsidRPr="00434EEE">
        <w:rPr>
          <w:rFonts w:ascii="Arial" w:eastAsia="Times New Roman" w:hAnsi="Arial" w:cs="Arial"/>
          <w:color w:val="000000" w:themeColor="text1"/>
          <w:kern w:val="0"/>
          <w:sz w:val="20"/>
          <w:szCs w:val="20"/>
          <w14:ligatures w14:val="none"/>
        </w:rPr>
        <w:t xml:space="preserve">The cement mortar petri dish on the very right is also a control sample with cement and the growth media (PDB, but without fungal strain) to assess the potential </w:t>
      </w:r>
      <w:r w:rsidRPr="00434EEE">
        <w:rPr>
          <w:rFonts w:ascii="Arial" w:eastAsia="Times New Roman" w:hAnsi="Arial" w:cs="Arial"/>
          <w:color w:val="000000" w:themeColor="text1"/>
          <w:kern w:val="0"/>
          <w:sz w:val="20"/>
          <w:szCs w:val="20"/>
          <w14:ligatures w14:val="none"/>
        </w:rPr>
        <w:lastRenderedPageBreak/>
        <w:t xml:space="preserve">contaminations. </w:t>
      </w:r>
      <w:r w:rsidRPr="00434EEE">
        <w:rPr>
          <w:rFonts w:ascii="Arial" w:hAnsi="Arial" w:cs="Arial"/>
          <w:color w:val="000000" w:themeColor="text1"/>
          <w:kern w:val="0"/>
          <w:sz w:val="20"/>
          <w:szCs w:val="20"/>
          <w:lang w:eastAsia="zh-CN"/>
          <w14:ligatures w14:val="none"/>
        </w:rPr>
        <w:t>The samples shown from Figures 20 shows the condition of fungal growth at Days 0, 5, 10.</w:t>
      </w:r>
    </w:p>
    <w:p w14:paraId="65EA6C02" w14:textId="77777777" w:rsidR="00075928" w:rsidRPr="00434EEE" w:rsidRDefault="00075928">
      <w:pPr>
        <w:rPr>
          <w:rFonts w:ascii="Arial" w:eastAsia="Times New Roman" w:hAnsi="Arial" w:cs="Arial"/>
          <w:color w:val="000000" w:themeColor="text1"/>
          <w:kern w:val="0"/>
          <w:sz w:val="20"/>
          <w:szCs w:val="20"/>
          <w14:ligatures w14:val="none"/>
        </w:rPr>
      </w:pPr>
    </w:p>
    <w:p w14:paraId="65EA6C03" w14:textId="77777777" w:rsidR="00075928" w:rsidRDefault="009932F3">
      <w:pPr>
        <w:rPr>
          <w:rFonts w:ascii="Arial" w:hAnsi="Arial" w:cs="Arial"/>
          <w:color w:val="000000" w:themeColor="text1"/>
          <w:kern w:val="0"/>
          <w:sz w:val="20"/>
          <w:szCs w:val="20"/>
          <w:lang w:eastAsia="zh-CN"/>
          <w14:ligatures w14:val="none"/>
        </w:rPr>
      </w:pPr>
      <w:r w:rsidRPr="00434EEE">
        <w:rPr>
          <w:rFonts w:ascii="Arial" w:hAnsi="Arial" w:cs="Arial"/>
          <w:color w:val="000000" w:themeColor="text1"/>
          <w:kern w:val="0"/>
          <w:sz w:val="20"/>
          <w:szCs w:val="20"/>
          <w:lang w:eastAsia="zh-CN"/>
          <w14:ligatures w14:val="none"/>
        </w:rPr>
        <w:t>Figures 20 shows that the two fungal strains were able to grow in the petri dishes with the growth media (PDB) with time. However, these two fungal strains can not grow on the surface of the cement mortar samples. The reasons could be due to the high pH due to cement hydration reaction, water absorbed by cement hydration that reduce the water amount for fungal growth, or cement chemicals that affected the growth of fungal strains(Gadd 2007).</w:t>
      </w:r>
    </w:p>
    <w:p w14:paraId="4FF5B92E" w14:textId="77777777" w:rsidR="00606C41" w:rsidRPr="00434EEE" w:rsidRDefault="00606C41">
      <w:pPr>
        <w:rPr>
          <w:rFonts w:ascii="Arial" w:hAnsi="Arial" w:cs="Arial"/>
          <w:b/>
          <w:bCs/>
          <w:i/>
          <w:iCs/>
          <w:kern w:val="0"/>
          <w:sz w:val="20"/>
          <w:szCs w:val="20"/>
          <w:lang w:eastAsia="zh-CN"/>
          <w14:ligatures w14:val="none"/>
        </w:rPr>
      </w:pPr>
    </w:p>
    <w:p w14:paraId="65EA6C04"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noProof/>
        </w:rPr>
        <w:drawing>
          <wp:inline distT="0" distB="0" distL="118745" distR="118745" wp14:anchorId="65EA6CD7" wp14:editId="65EA6CD8">
            <wp:extent cx="5936615" cy="3216910"/>
            <wp:effectExtent l="0" t="0" r="6985" b="889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37"/>
                    <a:stretch>
                      <a:fillRect/>
                    </a:stretch>
                  </pic:blipFill>
                  <pic:spPr>
                    <a:xfrm>
                      <a:off x="0" y="0"/>
                      <a:ext cx="5936615" cy="3216910"/>
                    </a:xfrm>
                    <a:prstGeom prst="rect">
                      <a:avLst/>
                    </a:prstGeom>
                    <a:noFill/>
                    <a:ln>
                      <a:noFill/>
                    </a:ln>
                  </pic:spPr>
                </pic:pic>
              </a:graphicData>
            </a:graphic>
          </wp:inline>
        </w:drawing>
      </w:r>
      <w:r>
        <w:rPr>
          <w:rFonts w:ascii="Arial" w:eastAsia="Times New Roman" w:hAnsi="Arial" w:cs="Arial"/>
          <w:b/>
          <w:bCs/>
          <w:kern w:val="0"/>
          <w:sz w:val="20"/>
          <w:szCs w:val="20"/>
          <w:lang w:eastAsia="zh-CN"/>
          <w14:ligatures w14:val="none"/>
        </w:rPr>
        <w:t>Figure 2</w:t>
      </w:r>
      <w:r>
        <w:rPr>
          <w:rFonts w:ascii="Arial" w:eastAsia="Times New Roman" w:hAnsi="Arial" w:cs="Arial" w:hint="eastAsia"/>
          <w:b/>
          <w:bCs/>
          <w:kern w:val="0"/>
          <w:sz w:val="20"/>
          <w:szCs w:val="20"/>
          <w:lang w:eastAsia="zh-CN"/>
          <w14:ligatures w14:val="none"/>
        </w:rPr>
        <w:t>0</w:t>
      </w:r>
      <w:r>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(a-c)</w:t>
      </w:r>
      <w:r>
        <w:rPr>
          <w:rFonts w:ascii="Arial" w:eastAsia="Times New Roman" w:hAnsi="Arial" w:cs="Arial"/>
          <w:b/>
          <w:bCs/>
          <w:kern w:val="0"/>
          <w:sz w:val="20"/>
          <w:szCs w:val="20"/>
          <w:lang w:eastAsia="zh-CN"/>
          <w14:ligatures w14:val="none"/>
        </w:rPr>
        <w:t xml:space="preserve"> Days 0, 5, 10 imaging of fungi in petri dish.</w:t>
      </w:r>
    </w:p>
    <w:p w14:paraId="65EA6C05" w14:textId="77777777" w:rsidR="00075928" w:rsidRDefault="00075928">
      <w:pPr>
        <w:pStyle w:val="ListParagraph"/>
        <w:ind w:left="0"/>
        <w:jc w:val="center"/>
        <w:rPr>
          <w:rFonts w:ascii="Arial" w:eastAsia="Times New Roman" w:hAnsi="Arial" w:cs="Arial"/>
          <w:kern w:val="0"/>
          <w:sz w:val="22"/>
          <w:szCs w:val="22"/>
          <w:lang w:eastAsia="zh-CN"/>
          <w14:ligatures w14:val="none"/>
        </w:rPr>
      </w:pPr>
    </w:p>
    <w:p w14:paraId="65EA6C06" w14:textId="77777777" w:rsidR="00075928" w:rsidRDefault="009932F3">
      <w:pPr>
        <w:pStyle w:val="Heading2"/>
      </w:pPr>
      <w:bookmarkStart w:id="18" w:name="_Toc204250350"/>
      <w:r>
        <w:t>5.3. Task 3. Assessing the self-healing capability of cement mortar cracks using fungal strains</w:t>
      </w:r>
      <w:bookmarkEnd w:id="18"/>
    </w:p>
    <w:p w14:paraId="65B3DAE7" w14:textId="77777777" w:rsidR="00606C41" w:rsidRPr="00434EEE" w:rsidRDefault="00606C41" w:rsidP="00606C41"/>
    <w:p w14:paraId="65EA6C07" w14:textId="77777777" w:rsidR="00075928" w:rsidRPr="00434EEE" w:rsidRDefault="009932F3">
      <w:pPr>
        <w:rPr>
          <w:rFonts w:ascii="Arial" w:eastAsia="Times New Roman" w:hAnsi="Arial" w:cs="Arial"/>
          <w:color w:val="000000" w:themeColor="text1"/>
          <w:kern w:val="0"/>
          <w:sz w:val="20"/>
          <w:szCs w:val="20"/>
          <w:lang w:eastAsia="zh-CN"/>
          <w14:ligatures w14:val="none"/>
        </w:rPr>
      </w:pPr>
      <w:r w:rsidRPr="00434EEE">
        <w:rPr>
          <w:rFonts w:ascii="Arial" w:eastAsia="Times New Roman" w:hAnsi="Arial" w:cs="Arial"/>
          <w:color w:val="000000" w:themeColor="text1"/>
          <w:kern w:val="0"/>
          <w:sz w:val="20"/>
          <w:szCs w:val="20"/>
          <w14:ligatures w14:val="none"/>
        </w:rPr>
        <w:t>Standard compressive strength tests were conducted following ASTM C39/C39M to evaluate the effects of sample shape and fiber addition. Mortar specimens were prepared in cube and cylinder forms, with or without 0.45% cellulose fiber. Tests were performed at 3, 7, and 28 days (n = 3). As shown in Figures 21 and 22, cylindrical samples produced more consistent results than cubes, indicating better data reliability. Although fiber slightly reduced strength, it improved handling and crack induction. Based on these findings, cylindrical samples with 0.45% fiber were selected for the healing experiments.</w:t>
      </w:r>
    </w:p>
    <w:p w14:paraId="65EA6C08" w14:textId="77777777" w:rsidR="00075928" w:rsidRDefault="00075928">
      <w:pPr>
        <w:rPr>
          <w:rFonts w:ascii="Arial" w:eastAsia="Times New Roman" w:hAnsi="Arial" w:cs="Arial"/>
          <w:color w:val="000000" w:themeColor="text1"/>
          <w:kern w:val="0"/>
          <w:sz w:val="22"/>
          <w:szCs w:val="22"/>
          <w:lang w:eastAsia="zh-CN"/>
          <w14:ligatures w14:val="none"/>
        </w:rPr>
      </w:pPr>
    </w:p>
    <w:p w14:paraId="65EA6C09" w14:textId="77777777" w:rsidR="00075928" w:rsidRDefault="00075928">
      <w:pPr>
        <w:rPr>
          <w:lang w:eastAsia="zh-CN"/>
        </w:rPr>
      </w:pPr>
    </w:p>
    <w:p w14:paraId="65EA6C0A" w14:textId="77777777" w:rsidR="00075928" w:rsidRDefault="00075928">
      <w:pPr>
        <w:pStyle w:val="ListParagraph"/>
        <w:rPr>
          <w:rFonts w:ascii="Arial" w:hAnsi="Arial" w:cs="Arial"/>
          <w:kern w:val="0"/>
          <w:sz w:val="22"/>
          <w:szCs w:val="22"/>
          <w:lang w:eastAsia="zh-CN"/>
          <w14:ligatures w14:val="none"/>
        </w:rPr>
      </w:pPr>
    </w:p>
    <w:p w14:paraId="65EA6C0B" w14:textId="77777777" w:rsidR="00075928" w:rsidRDefault="009932F3">
      <w:pPr>
        <w:pStyle w:val="ListParagraph"/>
        <w:jc w:val="center"/>
        <w:rPr>
          <w:rFonts w:ascii="Arial" w:hAnsi="Arial" w:cs="Arial"/>
          <w:i/>
          <w:iCs/>
          <w:kern w:val="0"/>
          <w:sz w:val="22"/>
          <w:szCs w:val="22"/>
          <w:lang w:eastAsia="zh-CN"/>
          <w14:ligatures w14:val="none"/>
        </w:rPr>
      </w:pPr>
      <w:r>
        <w:rPr>
          <w:noProof/>
        </w:rPr>
        <w:lastRenderedPageBreak/>
        <w:drawing>
          <wp:inline distT="0" distB="0" distL="0" distR="0" wp14:anchorId="65EA6CD9" wp14:editId="65EA6CDA">
            <wp:extent cx="4572000" cy="2743200"/>
            <wp:effectExtent l="0" t="0" r="0" b="0"/>
            <wp:docPr id="1677765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5EA6C0C"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21</w:t>
      </w:r>
      <w:r>
        <w:rPr>
          <w:rFonts w:ascii="Arial" w:eastAsia="Times New Roman" w:hAnsi="Arial" w:cs="Arial"/>
          <w:b/>
          <w:bCs/>
          <w:kern w:val="0"/>
          <w:sz w:val="20"/>
          <w:szCs w:val="20"/>
          <w:lang w:eastAsia="zh-CN"/>
          <w14:ligatures w14:val="none"/>
        </w:rPr>
        <w:t>. Compression test result of untreated cement mortar.</w:t>
      </w:r>
    </w:p>
    <w:p w14:paraId="65EA6C0D" w14:textId="77777777" w:rsidR="00075928" w:rsidRDefault="00075928">
      <w:pPr>
        <w:pStyle w:val="ListParagraph"/>
        <w:rPr>
          <w:rFonts w:ascii="Arial" w:hAnsi="Arial" w:cs="Arial"/>
          <w:i/>
          <w:iCs/>
          <w:kern w:val="0"/>
          <w:sz w:val="22"/>
          <w:szCs w:val="22"/>
          <w:lang w:eastAsia="zh-CN"/>
          <w14:ligatures w14:val="none"/>
        </w:rPr>
      </w:pPr>
    </w:p>
    <w:p w14:paraId="65EA6C0E" w14:textId="77777777" w:rsidR="00075928" w:rsidRDefault="009932F3">
      <w:pPr>
        <w:pStyle w:val="ListParagraph"/>
        <w:jc w:val="center"/>
        <w:rPr>
          <w:rFonts w:ascii="Arial" w:hAnsi="Arial" w:cs="Arial"/>
          <w:i/>
          <w:iCs/>
          <w:kern w:val="0"/>
          <w:sz w:val="22"/>
          <w:szCs w:val="22"/>
          <w:lang w:eastAsia="zh-CN"/>
          <w14:ligatures w14:val="none"/>
        </w:rPr>
      </w:pPr>
      <w:r>
        <w:rPr>
          <w:noProof/>
        </w:rPr>
        <w:drawing>
          <wp:inline distT="0" distB="0" distL="0" distR="0" wp14:anchorId="65EA6CDB" wp14:editId="65EA6CDC">
            <wp:extent cx="4572000" cy="2743200"/>
            <wp:effectExtent l="0" t="0" r="0" b="0"/>
            <wp:docPr id="944527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5EA6C0F" w14:textId="77777777" w:rsidR="00075928" w:rsidRDefault="009932F3">
      <w:pPr>
        <w:pStyle w:val="ListParagraph"/>
        <w:ind w:left="0"/>
        <w:jc w:val="center"/>
        <w:rPr>
          <w:rStyle w:val="CommentReferenc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22</w:t>
      </w:r>
      <w:r>
        <w:rPr>
          <w:rFonts w:ascii="Arial" w:eastAsia="Times New Roman" w:hAnsi="Arial" w:cs="Arial"/>
          <w:b/>
          <w:bCs/>
          <w:kern w:val="0"/>
          <w:sz w:val="20"/>
          <w:szCs w:val="20"/>
          <w:lang w:eastAsia="zh-CN"/>
          <w14:ligatures w14:val="none"/>
        </w:rPr>
        <w:t>. Compression test result of cement mortar with cellulose fiber.</w:t>
      </w:r>
    </w:p>
    <w:p w14:paraId="65EA6C10" w14:textId="77777777" w:rsidR="00075928" w:rsidRDefault="00075928">
      <w:pPr>
        <w:pStyle w:val="ListParagraph"/>
        <w:ind w:left="0"/>
        <w:jc w:val="both"/>
        <w:rPr>
          <w:rStyle w:val="CommentReference"/>
          <w:lang w:eastAsia="zh-CN"/>
        </w:rPr>
      </w:pPr>
    </w:p>
    <w:p w14:paraId="65EA6C11" w14:textId="77777777" w:rsidR="00075928" w:rsidRDefault="00075928">
      <w:pPr>
        <w:pStyle w:val="ListParagraph"/>
        <w:ind w:left="0"/>
        <w:jc w:val="both"/>
        <w:rPr>
          <w:rStyle w:val="CommentReference"/>
          <w:lang w:eastAsia="zh-CN"/>
        </w:rPr>
      </w:pPr>
    </w:p>
    <w:p w14:paraId="65EA6C12" w14:textId="77777777" w:rsidR="00075928" w:rsidRDefault="00075928">
      <w:pPr>
        <w:pStyle w:val="ListParagraph"/>
        <w:ind w:left="0"/>
        <w:jc w:val="both"/>
        <w:rPr>
          <w:rStyle w:val="CommentReference"/>
          <w:lang w:eastAsia="zh-CN"/>
        </w:rPr>
      </w:pPr>
    </w:p>
    <w:p w14:paraId="65EA6C13" w14:textId="77777777" w:rsidR="00075928" w:rsidRDefault="00075928">
      <w:pPr>
        <w:pStyle w:val="ListParagraph"/>
        <w:ind w:left="0"/>
        <w:jc w:val="both"/>
        <w:rPr>
          <w:rStyle w:val="CommentReference"/>
          <w:lang w:eastAsia="zh-CN"/>
        </w:rPr>
      </w:pPr>
    </w:p>
    <w:p w14:paraId="65EA6C14" w14:textId="77777777" w:rsidR="00075928" w:rsidRDefault="00075928">
      <w:pPr>
        <w:pStyle w:val="ListParagraph"/>
        <w:ind w:left="0"/>
        <w:jc w:val="both"/>
        <w:rPr>
          <w:rStyle w:val="CommentReference"/>
          <w:lang w:eastAsia="zh-CN"/>
        </w:rPr>
      </w:pPr>
    </w:p>
    <w:p w14:paraId="65EA6C15" w14:textId="77777777" w:rsidR="00075928" w:rsidRDefault="00075928">
      <w:pPr>
        <w:pStyle w:val="ListParagraph"/>
        <w:ind w:left="0"/>
        <w:jc w:val="both"/>
        <w:rPr>
          <w:rStyle w:val="CommentReference"/>
          <w:lang w:eastAsia="zh-CN"/>
        </w:rPr>
      </w:pPr>
    </w:p>
    <w:p w14:paraId="65EA6C16" w14:textId="77777777" w:rsidR="00075928" w:rsidRDefault="00075928">
      <w:pPr>
        <w:pStyle w:val="ListParagraph"/>
        <w:ind w:left="0"/>
        <w:jc w:val="both"/>
        <w:rPr>
          <w:rStyle w:val="CommentReference"/>
          <w:lang w:eastAsia="zh-CN"/>
        </w:rPr>
      </w:pPr>
    </w:p>
    <w:p w14:paraId="65EA6C17" w14:textId="77777777" w:rsidR="00075928" w:rsidRDefault="00075928">
      <w:pPr>
        <w:pStyle w:val="ListParagraph"/>
        <w:ind w:left="0"/>
        <w:jc w:val="both"/>
        <w:rPr>
          <w:rStyle w:val="CommentReference"/>
          <w:lang w:eastAsia="zh-CN"/>
        </w:rPr>
      </w:pPr>
    </w:p>
    <w:p w14:paraId="65EA6C18" w14:textId="77777777" w:rsidR="00075928" w:rsidRDefault="00075928">
      <w:pPr>
        <w:pStyle w:val="ListParagraph"/>
        <w:ind w:left="0"/>
        <w:jc w:val="both"/>
        <w:rPr>
          <w:rStyle w:val="CommentReference"/>
          <w:lang w:eastAsia="zh-CN"/>
        </w:rPr>
      </w:pPr>
    </w:p>
    <w:p w14:paraId="65EA6C19" w14:textId="77777777" w:rsidR="00075928" w:rsidRDefault="00075928">
      <w:pPr>
        <w:pStyle w:val="ListParagraph"/>
        <w:ind w:left="0"/>
        <w:jc w:val="both"/>
        <w:rPr>
          <w:rStyle w:val="CommentReference"/>
          <w:lang w:eastAsia="zh-CN"/>
        </w:rPr>
      </w:pPr>
    </w:p>
    <w:p w14:paraId="65EA6C1A" w14:textId="77777777" w:rsidR="00075928" w:rsidRDefault="00075928">
      <w:pPr>
        <w:pStyle w:val="ListParagraph"/>
        <w:ind w:left="0"/>
        <w:jc w:val="both"/>
        <w:rPr>
          <w:rStyle w:val="CommentReference"/>
          <w:lang w:eastAsia="zh-CN"/>
        </w:rPr>
      </w:pPr>
    </w:p>
    <w:p w14:paraId="65EA6C1B" w14:textId="77777777" w:rsidR="00075928" w:rsidRDefault="00075928">
      <w:pPr>
        <w:pStyle w:val="ListParagraph"/>
        <w:ind w:left="0"/>
        <w:jc w:val="both"/>
        <w:rPr>
          <w:rStyle w:val="CommentReference"/>
          <w:lang w:eastAsia="zh-CN"/>
        </w:rPr>
      </w:pPr>
    </w:p>
    <w:p w14:paraId="65EA6C1C" w14:textId="77777777" w:rsidR="00075928" w:rsidRDefault="00075928">
      <w:pPr>
        <w:pStyle w:val="ListParagraph"/>
        <w:ind w:left="0"/>
        <w:jc w:val="both"/>
        <w:rPr>
          <w:rStyle w:val="CommentReference"/>
          <w:lang w:eastAsia="zh-CN"/>
        </w:rPr>
      </w:pPr>
    </w:p>
    <w:p w14:paraId="65EA6C1D" w14:textId="77777777" w:rsidR="00075928" w:rsidRDefault="00075928">
      <w:pPr>
        <w:pStyle w:val="ListParagraph"/>
        <w:ind w:left="0"/>
        <w:jc w:val="both"/>
        <w:rPr>
          <w:rStyle w:val="CommentReference"/>
          <w:lang w:eastAsia="zh-CN"/>
        </w:rPr>
      </w:pPr>
    </w:p>
    <w:p w14:paraId="65EA6C1E" w14:textId="77777777" w:rsidR="00075928" w:rsidRDefault="00075928">
      <w:pPr>
        <w:pStyle w:val="ListParagraph"/>
        <w:ind w:left="0"/>
        <w:jc w:val="both"/>
        <w:rPr>
          <w:rStyle w:val="CommentReference"/>
          <w:lang w:eastAsia="zh-CN"/>
        </w:rPr>
      </w:pPr>
    </w:p>
    <w:p w14:paraId="65EA6C1F" w14:textId="77777777" w:rsidR="00075928" w:rsidRDefault="00075928">
      <w:pPr>
        <w:pStyle w:val="ListParagraph"/>
        <w:ind w:left="0"/>
        <w:jc w:val="both"/>
        <w:rPr>
          <w:rStyle w:val="CommentReference"/>
          <w:lang w:eastAsia="zh-CN"/>
        </w:rPr>
      </w:pPr>
    </w:p>
    <w:p w14:paraId="65EA6C20" w14:textId="77777777" w:rsidR="00075928" w:rsidRDefault="00075928">
      <w:pPr>
        <w:pStyle w:val="ListParagraph"/>
        <w:ind w:left="0"/>
        <w:jc w:val="both"/>
        <w:rPr>
          <w:rStyle w:val="CommentReference"/>
          <w:lang w:eastAsia="zh-CN"/>
        </w:rPr>
      </w:pPr>
    </w:p>
    <w:p w14:paraId="65EA6C21" w14:textId="77777777" w:rsidR="00075928" w:rsidRDefault="00075928">
      <w:pPr>
        <w:pStyle w:val="ListParagraph"/>
        <w:ind w:left="0"/>
        <w:jc w:val="both"/>
        <w:rPr>
          <w:rStyle w:val="CommentReference"/>
          <w:lang w:eastAsia="zh-CN"/>
        </w:rPr>
      </w:pPr>
    </w:p>
    <w:p w14:paraId="65EA6C22" w14:textId="2BDA6DDF" w:rsidR="00075928" w:rsidRPr="00434EEE" w:rsidRDefault="009932F3">
      <w:pPr>
        <w:pStyle w:val="NormalWeb"/>
        <w:rPr>
          <w:rFonts w:ascii="Arial" w:eastAsia="Times New Roman" w:hAnsi="Arial" w:cs="Arial"/>
          <w:color w:val="000000" w:themeColor="text1"/>
          <w:sz w:val="20"/>
          <w:szCs w:val="20"/>
          <w:lang w:eastAsia="en-US"/>
          <w14:ligatures w14:val="none"/>
        </w:rPr>
      </w:pPr>
      <w:r w:rsidRPr="00434EEE">
        <w:rPr>
          <w:rFonts w:ascii="Arial" w:eastAsia="Times New Roman" w:hAnsi="Arial" w:cs="Arial"/>
          <w:color w:val="000000" w:themeColor="text1"/>
          <w:sz w:val="20"/>
          <w:szCs w:val="20"/>
          <w:lang w:eastAsia="en-US"/>
          <w14:ligatures w14:val="none"/>
        </w:rPr>
        <w:lastRenderedPageBreak/>
        <w:t xml:space="preserve">Figure 23 presents the 28-day compressive strength results of mortar specimens prior to crack </w:t>
      </w:r>
      <w:r w:rsidR="00596938" w:rsidRPr="00434EEE">
        <w:rPr>
          <w:rFonts w:ascii="Arial" w:eastAsia="Times New Roman" w:hAnsi="Arial" w:cs="Arial"/>
          <w:color w:val="000000" w:themeColor="text1"/>
          <w:sz w:val="20"/>
          <w:szCs w:val="20"/>
          <w:lang w:eastAsia="en-US"/>
          <w14:ligatures w14:val="none"/>
        </w:rPr>
        <w:t>generation</w:t>
      </w:r>
      <w:r w:rsidRPr="00434EEE">
        <w:rPr>
          <w:rFonts w:ascii="Arial" w:eastAsia="Times New Roman" w:hAnsi="Arial" w:cs="Arial"/>
          <w:color w:val="000000" w:themeColor="text1"/>
          <w:sz w:val="20"/>
          <w:szCs w:val="20"/>
          <w:lang w:eastAsia="en-US"/>
          <w14:ligatures w14:val="none"/>
        </w:rPr>
        <w:t>. Notably, specimens incorporating pre-wetted cellulose fiber and fungal strains—</w:t>
      </w:r>
      <w:r w:rsidRPr="00434EEE">
        <w:rPr>
          <w:rFonts w:ascii="Arial" w:eastAsia="Times New Roman" w:hAnsi="Arial" w:cs="Arial"/>
          <w:i/>
          <w:iCs/>
          <w:color w:val="000000" w:themeColor="text1"/>
          <w:sz w:val="20"/>
          <w:szCs w:val="20"/>
          <w:lang w:eastAsia="en-US"/>
          <w14:ligatures w14:val="none"/>
        </w:rPr>
        <w:t>Aspergillus niger</w:t>
      </w:r>
      <w:r w:rsidRPr="00434EEE">
        <w:rPr>
          <w:rFonts w:ascii="Arial" w:eastAsia="Times New Roman" w:hAnsi="Arial" w:cs="Arial"/>
          <w:color w:val="000000" w:themeColor="text1"/>
          <w:sz w:val="20"/>
          <w:szCs w:val="20"/>
          <w:lang w:eastAsia="en-US"/>
          <w14:ligatures w14:val="none"/>
        </w:rPr>
        <w:t xml:space="preserve"> (AN+W-Fiber) and </w:t>
      </w:r>
      <w:r w:rsidRPr="00434EEE">
        <w:rPr>
          <w:rFonts w:ascii="Arial" w:eastAsia="Times New Roman" w:hAnsi="Arial" w:cs="Arial"/>
          <w:i/>
          <w:iCs/>
          <w:color w:val="000000" w:themeColor="text1"/>
          <w:sz w:val="20"/>
          <w:szCs w:val="20"/>
          <w:lang w:eastAsia="en-US"/>
          <w14:ligatures w14:val="none"/>
        </w:rPr>
        <w:t>Neurospora crassa</w:t>
      </w:r>
      <w:r w:rsidRPr="00434EEE">
        <w:rPr>
          <w:rFonts w:ascii="Arial" w:eastAsia="Times New Roman" w:hAnsi="Arial" w:cs="Arial"/>
          <w:color w:val="000000" w:themeColor="text1"/>
          <w:sz w:val="20"/>
          <w:szCs w:val="20"/>
          <w:lang w:eastAsia="en-US"/>
          <w14:ligatures w14:val="none"/>
        </w:rPr>
        <w:t xml:space="preserve"> (NC+W-Fiber)—demonstrated significant strength enhancement and reduced variability compared to the control group. The AN+W-Fiber group reached 51.46 MPa, an increase of 32.14 MPa (166.4%) over the control (19.32 MPa), while the NC+W-Fiber group achieved 38.89 MPa, an increase of 19.57 MPa (101.3%).</w:t>
      </w:r>
      <w:r w:rsidR="009B7855" w:rsidRPr="00434EEE">
        <w:rPr>
          <w:rFonts w:ascii="Arial" w:eastAsia="Times New Roman" w:hAnsi="Arial" w:cs="Arial"/>
          <w:color w:val="000000" w:themeColor="text1"/>
          <w:sz w:val="20"/>
          <w:szCs w:val="20"/>
          <w:lang w:eastAsia="en-US"/>
          <w14:ligatures w14:val="none"/>
        </w:rPr>
        <w:t xml:space="preserve"> </w:t>
      </w:r>
      <w:r w:rsidRPr="00434EEE">
        <w:rPr>
          <w:rFonts w:ascii="Arial" w:eastAsia="Times New Roman" w:hAnsi="Arial" w:cs="Arial"/>
          <w:color w:val="000000" w:themeColor="text1"/>
          <w:sz w:val="20"/>
          <w:szCs w:val="20"/>
          <w:lang w:eastAsia="en-US"/>
          <w14:ligatures w14:val="none"/>
        </w:rPr>
        <w:t>In particular, during sample preparation, NC-treated mortar exhibited noticeably faster setting and hardening compared to other groups, suggesting a possible interaction between fungal metabolites and the hydration process.</w:t>
      </w:r>
    </w:p>
    <w:p w14:paraId="65EA6C23" w14:textId="77777777" w:rsidR="00075928" w:rsidRPr="00434EEE" w:rsidRDefault="009932F3">
      <w:pPr>
        <w:pStyle w:val="NormalWeb"/>
        <w:rPr>
          <w:rFonts w:ascii="Arial" w:eastAsia="Times New Roman" w:hAnsi="Arial" w:cs="Arial"/>
          <w:color w:val="000000" w:themeColor="text1"/>
          <w:sz w:val="20"/>
          <w:szCs w:val="20"/>
          <w:lang w:eastAsia="en-US"/>
          <w14:ligatures w14:val="none"/>
        </w:rPr>
      </w:pPr>
      <w:r w:rsidRPr="00434EEE">
        <w:rPr>
          <w:rFonts w:ascii="Arial" w:eastAsia="Times New Roman" w:hAnsi="Arial" w:cs="Arial"/>
          <w:color w:val="000000" w:themeColor="text1"/>
          <w:sz w:val="20"/>
          <w:szCs w:val="20"/>
          <w:lang w:eastAsia="en-US"/>
          <w14:ligatures w14:val="none"/>
        </w:rPr>
        <w:t xml:space="preserve">The improvements were observed under identical mix proportions and curing conditions, indicating that the strength gain was not due to material quantity but likely influenced by early microbial activity. According to recent studies, </w:t>
      </w:r>
      <w:r w:rsidRPr="00434EEE">
        <w:rPr>
          <w:rFonts w:ascii="Arial" w:eastAsia="Times New Roman" w:hAnsi="Arial" w:cs="Arial"/>
          <w:i/>
          <w:iCs/>
          <w:color w:val="000000" w:themeColor="text1"/>
          <w:sz w:val="20"/>
          <w:szCs w:val="20"/>
          <w:lang w:eastAsia="en-US"/>
          <w14:ligatures w14:val="none"/>
        </w:rPr>
        <w:t>Neurospora crassa</w:t>
      </w:r>
      <w:r w:rsidRPr="00434EEE">
        <w:rPr>
          <w:rFonts w:ascii="Arial" w:eastAsia="Times New Roman" w:hAnsi="Arial" w:cs="Arial"/>
          <w:color w:val="000000" w:themeColor="text1"/>
          <w:sz w:val="20"/>
          <w:szCs w:val="20"/>
          <w:lang w:eastAsia="en-US"/>
          <w14:ligatures w14:val="none"/>
        </w:rPr>
        <w:t xml:space="preserve"> expresses urease and facilitates biomineralization by precipitating calcium carbonate within the matrix, thereby enhancing early structural densification (Zhao et al., 2022). Similarly, </w:t>
      </w:r>
      <w:r w:rsidRPr="00434EEE">
        <w:rPr>
          <w:rFonts w:ascii="Arial" w:eastAsia="Times New Roman" w:hAnsi="Arial" w:cs="Arial"/>
          <w:i/>
          <w:iCs/>
          <w:color w:val="000000" w:themeColor="text1"/>
          <w:sz w:val="20"/>
          <w:szCs w:val="20"/>
          <w:lang w:eastAsia="en-US"/>
          <w14:ligatures w14:val="none"/>
        </w:rPr>
        <w:t>Aspergillus niger</w:t>
      </w:r>
      <w:r w:rsidRPr="00434EEE">
        <w:rPr>
          <w:rFonts w:ascii="Arial" w:eastAsia="Times New Roman" w:hAnsi="Arial" w:cs="Arial"/>
          <w:color w:val="000000" w:themeColor="text1"/>
          <w:sz w:val="20"/>
          <w:szCs w:val="20"/>
          <w:lang w:eastAsia="en-US"/>
          <w14:ligatures w14:val="none"/>
        </w:rPr>
        <w:t xml:space="preserve"> is known for strong metabolic activity and acid production, which may contribute to microstructural modification and filling effects in cementitious systems (Motaung et al., 2021).</w:t>
      </w:r>
    </w:p>
    <w:p w14:paraId="65EA6C24" w14:textId="77777777" w:rsidR="00075928" w:rsidRDefault="00075928">
      <w:pPr>
        <w:pStyle w:val="ListParagraph"/>
        <w:ind w:left="0"/>
        <w:jc w:val="both"/>
        <w:rPr>
          <w:rStyle w:val="CommentReference"/>
          <w:lang w:eastAsia="zh-CN"/>
        </w:rPr>
      </w:pPr>
    </w:p>
    <w:p w14:paraId="65EA6C25" w14:textId="77777777" w:rsidR="00075928" w:rsidRDefault="009932F3">
      <w:pPr>
        <w:pStyle w:val="ListParagraph"/>
        <w:ind w:left="0"/>
        <w:jc w:val="center"/>
        <w:rPr>
          <w:rStyle w:val="CommentReference"/>
          <w:lang w:eastAsia="zh-CN"/>
        </w:rPr>
      </w:pPr>
      <w:r>
        <w:rPr>
          <w:noProof/>
        </w:rPr>
        <w:drawing>
          <wp:inline distT="0" distB="0" distL="114300" distR="114300" wp14:anchorId="65EA6CDD" wp14:editId="65EA6CDE">
            <wp:extent cx="5939790" cy="3176270"/>
            <wp:effectExtent l="4445" t="4445" r="12065" b="6985"/>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5EA6C26" w14:textId="77777777" w:rsidR="00075928" w:rsidRDefault="009932F3">
      <w:pPr>
        <w:pStyle w:val="ListParagraph"/>
        <w:ind w:left="0"/>
        <w:jc w:val="center"/>
        <w:rPr>
          <w:rStyle w:val="CommentReferenc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23</w:t>
      </w:r>
      <w:r>
        <w:rPr>
          <w:rFonts w:ascii="Arial" w:eastAsia="Times New Roman" w:hAnsi="Arial" w:cs="Arial"/>
          <w:b/>
          <w:bCs/>
          <w:kern w:val="0"/>
          <w:sz w:val="20"/>
          <w:szCs w:val="20"/>
          <w:lang w:eastAsia="zh-CN"/>
          <w14:ligatures w14:val="none"/>
        </w:rPr>
        <w:t xml:space="preserve">. Compression test result of cement mortar </w:t>
      </w:r>
      <w:r>
        <w:rPr>
          <w:rFonts w:ascii="Arial" w:eastAsia="Times New Roman" w:hAnsi="Arial" w:cs="Arial" w:hint="eastAsia"/>
          <w:b/>
          <w:bCs/>
          <w:kern w:val="0"/>
          <w:sz w:val="20"/>
          <w:szCs w:val="20"/>
          <w:lang w:eastAsia="zh-CN"/>
          <w14:ligatures w14:val="none"/>
        </w:rPr>
        <w:t>28days</w:t>
      </w:r>
      <w:r>
        <w:rPr>
          <w:rFonts w:ascii="Arial" w:eastAsia="Times New Roman" w:hAnsi="Arial" w:cs="Arial"/>
          <w:b/>
          <w:bCs/>
          <w:kern w:val="0"/>
          <w:sz w:val="20"/>
          <w:szCs w:val="20"/>
          <w:lang w:eastAsia="zh-CN"/>
          <w14:ligatures w14:val="none"/>
        </w:rPr>
        <w:t>.</w:t>
      </w:r>
    </w:p>
    <w:p w14:paraId="65EA6C27" w14:textId="77777777" w:rsidR="00075928" w:rsidRDefault="00075928">
      <w:pPr>
        <w:rPr>
          <w:rFonts w:ascii="Arial" w:hAnsi="Arial" w:cs="Arial"/>
          <w:kern w:val="0"/>
          <w:sz w:val="22"/>
          <w:szCs w:val="22"/>
          <w:lang w:eastAsia="zh-CN"/>
          <w14:ligatures w14:val="none"/>
        </w:rPr>
      </w:pPr>
    </w:p>
    <w:p w14:paraId="65EA6C28" w14:textId="77777777" w:rsidR="00075928" w:rsidRDefault="00075928">
      <w:pPr>
        <w:rPr>
          <w:rFonts w:ascii="Arial" w:hAnsi="Arial" w:cs="Arial"/>
          <w:kern w:val="0"/>
          <w:sz w:val="22"/>
          <w:szCs w:val="22"/>
          <w:lang w:eastAsia="zh-CN"/>
          <w14:ligatures w14:val="none"/>
        </w:rPr>
      </w:pPr>
    </w:p>
    <w:p w14:paraId="65EA6C29" w14:textId="77777777" w:rsidR="00075928" w:rsidRDefault="00075928">
      <w:pPr>
        <w:pStyle w:val="ListParagraph"/>
        <w:ind w:left="0"/>
        <w:jc w:val="both"/>
        <w:rPr>
          <w:rFonts w:ascii="Arial" w:eastAsia="Times New Roman" w:hAnsi="Arial" w:cs="Arial"/>
          <w:b/>
          <w:bCs/>
          <w:kern w:val="0"/>
          <w:sz w:val="20"/>
          <w:szCs w:val="20"/>
          <w:lang w:eastAsia="zh-CN"/>
          <w14:ligatures w14:val="none"/>
        </w:rPr>
      </w:pPr>
    </w:p>
    <w:p w14:paraId="65EA6C2A" w14:textId="77777777" w:rsidR="00075928" w:rsidRDefault="00075928">
      <w:pPr>
        <w:rPr>
          <w:lang w:eastAsia="zh-CN"/>
        </w:rPr>
      </w:pPr>
    </w:p>
    <w:p w14:paraId="65EA6C2B" w14:textId="77777777" w:rsidR="00075928" w:rsidRDefault="00075928">
      <w:pPr>
        <w:rPr>
          <w:lang w:eastAsia="zh-CN"/>
        </w:rPr>
      </w:pPr>
    </w:p>
    <w:p w14:paraId="65EA6C2C" w14:textId="77777777" w:rsidR="00075928" w:rsidRDefault="00075928">
      <w:pPr>
        <w:rPr>
          <w:lang w:eastAsia="zh-CN"/>
        </w:rPr>
      </w:pPr>
    </w:p>
    <w:p w14:paraId="65EA6C2D" w14:textId="77777777" w:rsidR="00075928" w:rsidRDefault="00075928">
      <w:pPr>
        <w:rPr>
          <w:lang w:eastAsia="zh-CN"/>
        </w:rPr>
      </w:pPr>
    </w:p>
    <w:p w14:paraId="65EA6C2E" w14:textId="77777777" w:rsidR="00075928" w:rsidRDefault="00075928">
      <w:pPr>
        <w:rPr>
          <w:lang w:eastAsia="zh-CN"/>
        </w:rPr>
      </w:pPr>
    </w:p>
    <w:p w14:paraId="65EA6C2F" w14:textId="77777777" w:rsidR="00075928" w:rsidRDefault="00075928">
      <w:pPr>
        <w:rPr>
          <w:lang w:eastAsia="zh-CN"/>
        </w:rPr>
      </w:pPr>
    </w:p>
    <w:p w14:paraId="65EA6C30" w14:textId="77777777" w:rsidR="00075928" w:rsidRDefault="00075928">
      <w:pPr>
        <w:rPr>
          <w:lang w:eastAsia="zh-CN"/>
        </w:rPr>
      </w:pPr>
    </w:p>
    <w:p w14:paraId="65EA6C31" w14:textId="77777777" w:rsidR="00075928" w:rsidRPr="00434EEE" w:rsidRDefault="009932F3">
      <w:pPr>
        <w:pStyle w:val="NormalWeb"/>
        <w:rPr>
          <w:rFonts w:ascii="Arial" w:eastAsia="Times New Roman" w:hAnsi="Arial" w:cs="Arial"/>
          <w:color w:val="000000" w:themeColor="text1"/>
          <w:sz w:val="20"/>
          <w:szCs w:val="20"/>
          <w:lang w:eastAsia="en-US"/>
          <w14:ligatures w14:val="none"/>
        </w:rPr>
      </w:pPr>
      <w:r w:rsidRPr="00434EEE">
        <w:rPr>
          <w:rFonts w:ascii="Arial" w:eastAsia="Times New Roman" w:hAnsi="Arial" w:cs="Arial"/>
          <w:color w:val="000000" w:themeColor="text1"/>
          <w:sz w:val="20"/>
          <w:szCs w:val="20"/>
          <w:lang w:eastAsia="en-US"/>
          <w14:ligatures w14:val="none"/>
        </w:rPr>
        <w:lastRenderedPageBreak/>
        <w:t xml:space="preserve">P-wave velocity tests were conducted along both the height direction (top-to-bottom) and side direction (across the crack plane) of cylindrical mortar specimens to assess internal crack development and consolidation. As shown in Figure 24, the velocity measured along the height direction steadily increased across all groups during the curing period, reflecting continuous matrix densification. The group incorporating </w:t>
      </w:r>
      <w:r w:rsidRPr="00434EEE">
        <w:rPr>
          <w:rFonts w:ascii="Arial" w:eastAsia="Times New Roman" w:hAnsi="Arial" w:cs="Arial"/>
          <w:i/>
          <w:iCs/>
          <w:color w:val="000000" w:themeColor="text1"/>
          <w:sz w:val="20"/>
          <w:szCs w:val="20"/>
          <w:lang w:eastAsia="en-US"/>
          <w14:ligatures w14:val="none"/>
        </w:rPr>
        <w:t>Neurospora crassa</w:t>
      </w:r>
      <w:r w:rsidRPr="00434EEE">
        <w:rPr>
          <w:rFonts w:ascii="Arial" w:eastAsia="Times New Roman" w:hAnsi="Arial" w:cs="Arial"/>
          <w:color w:val="000000" w:themeColor="text1"/>
          <w:sz w:val="20"/>
          <w:szCs w:val="20"/>
          <w:lang w:eastAsia="en-US"/>
          <w14:ligatures w14:val="none"/>
        </w:rPr>
        <w:t xml:space="preserve"> and fiber (NC+F) exhibited the highest final P-wave velocity (&gt;3100 m/s), followed by the </w:t>
      </w:r>
      <w:r w:rsidRPr="00434EEE">
        <w:rPr>
          <w:rFonts w:ascii="Arial" w:eastAsia="Times New Roman" w:hAnsi="Arial" w:cs="Arial"/>
          <w:i/>
          <w:iCs/>
          <w:color w:val="000000" w:themeColor="text1"/>
          <w:sz w:val="20"/>
          <w:szCs w:val="20"/>
          <w:lang w:eastAsia="en-US"/>
          <w14:ligatures w14:val="none"/>
        </w:rPr>
        <w:t>Aspergillus niger</w:t>
      </w:r>
      <w:r w:rsidRPr="00434EEE">
        <w:rPr>
          <w:rFonts w:ascii="Arial" w:eastAsia="Times New Roman" w:hAnsi="Arial" w:cs="Arial"/>
          <w:color w:val="000000" w:themeColor="text1"/>
          <w:sz w:val="20"/>
          <w:szCs w:val="20"/>
          <w:lang w:eastAsia="en-US"/>
          <w14:ligatures w14:val="none"/>
        </w:rPr>
        <w:t xml:space="preserve"> and fiber group (AN+F). Both significantly outperformed the control and bacterial (SP) groups, indicating improved internal structure.</w:t>
      </w:r>
    </w:p>
    <w:p w14:paraId="65EA6C32" w14:textId="77777777" w:rsidR="00075928" w:rsidRPr="00434EEE" w:rsidRDefault="009932F3">
      <w:pPr>
        <w:pStyle w:val="NormalWeb"/>
        <w:rPr>
          <w:rFonts w:ascii="Arial" w:eastAsia="Times New Roman" w:hAnsi="Arial" w:cs="Arial"/>
          <w:color w:val="000000" w:themeColor="text1"/>
          <w:sz w:val="20"/>
          <w:szCs w:val="20"/>
          <w:lang w:eastAsia="en-US"/>
          <w14:ligatures w14:val="none"/>
        </w:rPr>
      </w:pPr>
      <w:r w:rsidRPr="00434EEE">
        <w:rPr>
          <w:rFonts w:ascii="Arial" w:eastAsia="Times New Roman" w:hAnsi="Arial" w:cs="Arial"/>
          <w:color w:val="000000" w:themeColor="text1"/>
          <w:sz w:val="20"/>
          <w:szCs w:val="20"/>
          <w:lang w:eastAsia="en-US"/>
          <w14:ligatures w14:val="none"/>
        </w:rPr>
        <w:t>In contrast, side-direction velocities—more sensitive to surface-connected discontinuities—showed lower initial values and slower recovery. Among the groups with fiber reinforcement (SP+F, AN+F, NC+F), notable lateral velocity recovery was observed after Day 4, suggesting enhanced crack bridging and healing potential. The NC+F group again demonstrated the best performance, consistent with its superior compressive strength and early hardening behavior.</w:t>
      </w:r>
    </w:p>
    <w:p w14:paraId="65EA6C33" w14:textId="77777777" w:rsidR="00075928" w:rsidRPr="00434EEE" w:rsidRDefault="009932F3">
      <w:pPr>
        <w:pStyle w:val="NormalWeb"/>
        <w:rPr>
          <w:sz w:val="21"/>
          <w:szCs w:val="21"/>
        </w:rPr>
      </w:pPr>
      <w:r w:rsidRPr="00434EEE">
        <w:rPr>
          <w:rFonts w:ascii="Arial" w:eastAsia="Times New Roman" w:hAnsi="Arial" w:cs="Arial"/>
          <w:color w:val="000000" w:themeColor="text1"/>
          <w:sz w:val="20"/>
          <w:szCs w:val="20"/>
          <w:lang w:eastAsia="en-US"/>
          <w14:ligatures w14:val="none"/>
        </w:rPr>
        <w:t xml:space="preserve">These results indicate that fungal treatment, especially with </w:t>
      </w:r>
      <w:r w:rsidRPr="00434EEE">
        <w:rPr>
          <w:rFonts w:ascii="Arial" w:eastAsia="Times New Roman" w:hAnsi="Arial" w:cs="Arial"/>
          <w:i/>
          <w:iCs/>
          <w:color w:val="000000" w:themeColor="text1"/>
          <w:sz w:val="20"/>
          <w:szCs w:val="20"/>
          <w:lang w:eastAsia="en-US"/>
          <w14:ligatures w14:val="none"/>
        </w:rPr>
        <w:t>Neurospora crassa</w:t>
      </w:r>
      <w:r w:rsidRPr="00434EEE">
        <w:rPr>
          <w:rFonts w:ascii="Arial" w:eastAsia="Times New Roman" w:hAnsi="Arial" w:cs="Arial"/>
          <w:color w:val="000000" w:themeColor="text1"/>
          <w:sz w:val="20"/>
          <w:szCs w:val="20"/>
          <w:lang w:eastAsia="en-US"/>
          <w14:ligatures w14:val="none"/>
        </w:rPr>
        <w:t>, combined with pre-wetted fiber reinforcement, contributes to improved structural integrity and micro-crack closure even before formal healing procedures</w:t>
      </w:r>
      <w:r w:rsidRPr="00434EEE">
        <w:rPr>
          <w:rFonts w:ascii="Arial" w:hAnsi="Arial" w:cs="Arial"/>
          <w:color w:val="000000" w:themeColor="text1"/>
          <w:sz w:val="20"/>
          <w:szCs w:val="20"/>
          <w14:ligatures w14:val="none"/>
        </w:rPr>
        <w:t>.</w:t>
      </w:r>
    </w:p>
    <w:p w14:paraId="65EA6C34"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noProof/>
        </w:rPr>
        <w:drawing>
          <wp:inline distT="0" distB="0" distL="114300" distR="114300" wp14:anchorId="65EA6CDF" wp14:editId="65EA6CE0">
            <wp:extent cx="5941695" cy="2854325"/>
            <wp:effectExtent l="4445" t="4445" r="1016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EA6C35" w14:textId="5D6BA199" w:rsidR="00075928" w:rsidRDefault="009932F3">
      <w:pPr>
        <w:pStyle w:val="ListParagraph"/>
        <w:ind w:left="0"/>
        <w:jc w:val="center"/>
        <w:rPr>
          <w:rStyle w:val="CommentReferenc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24</w:t>
      </w:r>
      <w:r>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 xml:space="preserve">P-wave </w:t>
      </w:r>
      <w:r w:rsidR="001121B5">
        <w:rPr>
          <w:rFonts w:ascii="Arial" w:eastAsia="Times New Roman" w:hAnsi="Arial" w:cs="Arial"/>
          <w:b/>
          <w:bCs/>
          <w:kern w:val="0"/>
          <w:sz w:val="20"/>
          <w:szCs w:val="20"/>
          <w:lang w:eastAsia="zh-CN"/>
          <w14:ligatures w14:val="none"/>
        </w:rPr>
        <w:t>velocity</w:t>
      </w:r>
      <w:r w:rsidR="001121B5">
        <w:rPr>
          <w:rFonts w:ascii="Arial" w:eastAsia="Times New Roman" w:hAnsi="Arial" w:cs="Arial" w:hint="eastAsia"/>
          <w:b/>
          <w:bCs/>
          <w:kern w:val="0"/>
          <w:sz w:val="20"/>
          <w:szCs w:val="20"/>
          <w:lang w:eastAsia="zh-CN"/>
          <w14:ligatures w14:val="none"/>
        </w:rPr>
        <w:t xml:space="preserve"> </w:t>
      </w:r>
      <w:r w:rsidR="001121B5">
        <w:rPr>
          <w:rFonts w:ascii="Arial" w:eastAsia="Times New Roman" w:hAnsi="Arial" w:cs="Arial"/>
          <w:b/>
          <w:bCs/>
          <w:kern w:val="0"/>
          <w:sz w:val="20"/>
          <w:szCs w:val="20"/>
          <w:lang w:eastAsia="zh-CN"/>
          <w14:ligatures w14:val="none"/>
        </w:rPr>
        <w:t>versus time</w:t>
      </w:r>
      <w:r>
        <w:rPr>
          <w:rFonts w:ascii="Arial" w:eastAsia="Times New Roman" w:hAnsi="Arial" w:cs="Arial"/>
          <w:b/>
          <w:bCs/>
          <w:kern w:val="0"/>
          <w:sz w:val="20"/>
          <w:szCs w:val="20"/>
          <w:lang w:eastAsia="zh-CN"/>
          <w14:ligatures w14:val="none"/>
        </w:rPr>
        <w:t>.</w:t>
      </w:r>
    </w:p>
    <w:p w14:paraId="65EA6C36" w14:textId="77777777" w:rsidR="00075928" w:rsidRDefault="00075928">
      <w:pPr>
        <w:rPr>
          <w:rStyle w:val="CommentReference"/>
        </w:rPr>
      </w:pPr>
    </w:p>
    <w:p w14:paraId="65EA6C43" w14:textId="77777777" w:rsidR="00075928" w:rsidRPr="00434EEE" w:rsidRDefault="009932F3" w:rsidP="00434EEE">
      <w:pPr>
        <w:tabs>
          <w:tab w:val="left" w:pos="3959"/>
        </w:tabs>
        <w:rPr>
          <w:rFonts w:ascii="Arial" w:hAnsi="Arial" w:cs="Arial"/>
          <w:sz w:val="20"/>
          <w:szCs w:val="20"/>
        </w:rPr>
      </w:pPr>
      <w:r w:rsidRPr="00434EEE">
        <w:rPr>
          <w:rFonts w:ascii="Arial" w:hAnsi="Arial" w:cs="Arial"/>
          <w:sz w:val="20"/>
          <w:szCs w:val="20"/>
        </w:rPr>
        <w:t>S-wave velocity tests were performed in both the vertical (height) and lateral (side) directions of cylindrical mortar specimens to evaluate internal crack healing behavior under small-strain conditions. As shown in Figure 25, the height-direction S-wave velocity exhibited a general upward trend across all groups, reflecting gradual stiffness recovery and matrix consolidation. The fungal-fiber groups—NC+F and AN+F—recorded the highest final velocities, consistent with their improved compressive strength and internal densification.</w:t>
      </w:r>
    </w:p>
    <w:p w14:paraId="65EA6C44" w14:textId="77777777" w:rsidR="00075928" w:rsidRPr="00434EEE" w:rsidRDefault="009932F3">
      <w:pPr>
        <w:pStyle w:val="NormalWeb"/>
        <w:rPr>
          <w:rFonts w:ascii="Arial" w:eastAsia="Times New Roman" w:hAnsi="Arial" w:cs="Arial"/>
          <w:color w:val="000000" w:themeColor="text1"/>
          <w:sz w:val="20"/>
          <w:szCs w:val="20"/>
          <w:lang w:eastAsia="en-US"/>
          <w14:ligatures w14:val="none"/>
        </w:rPr>
      </w:pPr>
      <w:r w:rsidRPr="00434EEE">
        <w:rPr>
          <w:rFonts w:ascii="Arial" w:eastAsia="Times New Roman" w:hAnsi="Arial" w:cs="Arial"/>
          <w:color w:val="000000" w:themeColor="text1"/>
          <w:sz w:val="20"/>
          <w:szCs w:val="20"/>
          <w:lang w:eastAsia="en-US"/>
          <w14:ligatures w14:val="none"/>
        </w:rPr>
        <w:t>In the lateral direction, where measurements are more sensitive to crack discontinuities, the unreinforced groups (Control, SP) showed minimal or no recovery. In contrast, fungal groups with fiber reinforcement, particularly NC+F, demonstrated significant increases in S-wave velocity over time, indicating improved structural connectivity and crack closure.</w:t>
      </w:r>
    </w:p>
    <w:p w14:paraId="65EA6C45" w14:textId="1B4B5395" w:rsidR="00075928" w:rsidRPr="00434EEE" w:rsidRDefault="009932F3">
      <w:pPr>
        <w:pStyle w:val="NormalWeb"/>
        <w:rPr>
          <w:rFonts w:ascii="Arial" w:eastAsia="Times New Roman" w:hAnsi="Arial" w:cs="Arial"/>
          <w:color w:val="000000" w:themeColor="text1"/>
          <w:sz w:val="20"/>
          <w:szCs w:val="20"/>
          <w14:ligatures w14:val="none"/>
        </w:rPr>
      </w:pPr>
      <w:r w:rsidRPr="00434EEE">
        <w:rPr>
          <w:rFonts w:ascii="Arial" w:eastAsia="Times New Roman" w:hAnsi="Arial" w:cs="Arial"/>
          <w:color w:val="000000" w:themeColor="text1"/>
          <w:sz w:val="20"/>
          <w:szCs w:val="20"/>
          <w:lang w:eastAsia="en-US"/>
          <w14:ligatures w14:val="none"/>
        </w:rPr>
        <w:t xml:space="preserve">The divergence between vertical and lateral trends reinforces the importance of multi-directional </w:t>
      </w:r>
      <w:r w:rsidR="00165126" w:rsidRPr="00434EEE">
        <w:rPr>
          <w:rFonts w:ascii="Arial" w:eastAsia="Times New Roman" w:hAnsi="Arial" w:cs="Arial"/>
          <w:color w:val="000000" w:themeColor="text1"/>
          <w:sz w:val="20"/>
          <w:szCs w:val="20"/>
          <w:lang w:eastAsia="en-US"/>
          <w14:ligatures w14:val="none"/>
        </w:rPr>
        <w:t xml:space="preserve">S-wave </w:t>
      </w:r>
      <w:r w:rsidRPr="00434EEE">
        <w:rPr>
          <w:rFonts w:ascii="Arial" w:eastAsia="Times New Roman" w:hAnsi="Arial" w:cs="Arial"/>
          <w:color w:val="000000" w:themeColor="text1"/>
          <w:sz w:val="20"/>
          <w:szCs w:val="20"/>
          <w:lang w:eastAsia="en-US"/>
          <w14:ligatures w14:val="none"/>
        </w:rPr>
        <w:t xml:space="preserve">testing for assessing micro-scale healing performance. These findings confirm that the combined use of </w:t>
      </w:r>
      <w:r w:rsidRPr="00434EEE">
        <w:rPr>
          <w:rFonts w:ascii="Arial" w:eastAsia="Times New Roman" w:hAnsi="Arial" w:cs="Arial"/>
          <w:color w:val="000000" w:themeColor="text1"/>
          <w:sz w:val="20"/>
          <w:szCs w:val="20"/>
          <w:lang w:eastAsia="en-US"/>
          <w14:ligatures w14:val="none"/>
        </w:rPr>
        <w:lastRenderedPageBreak/>
        <w:t>fungal strains and hydrophilic fibers enhances mechanical continuity and internal recovery in cracked mortar.</w:t>
      </w:r>
    </w:p>
    <w:p w14:paraId="65EA6C46" w14:textId="77777777" w:rsidR="00075928" w:rsidRDefault="009932F3">
      <w:pPr>
        <w:pStyle w:val="ListParagraph"/>
        <w:ind w:left="0"/>
        <w:jc w:val="center"/>
        <w:rPr>
          <w:rStyle w:val="CommentReference"/>
        </w:rPr>
      </w:pPr>
      <w:r>
        <w:rPr>
          <w:noProof/>
        </w:rPr>
        <w:drawing>
          <wp:inline distT="0" distB="0" distL="114300" distR="114300" wp14:anchorId="65EA6CE1" wp14:editId="65EA6CE2">
            <wp:extent cx="5939790" cy="3030855"/>
            <wp:effectExtent l="4445" t="4445" r="12065" b="1270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5EA6C47" w14:textId="33D22936" w:rsidR="00075928" w:rsidRDefault="009932F3">
      <w:pPr>
        <w:pStyle w:val="ListParagraph"/>
        <w:ind w:left="0"/>
        <w:jc w:val="center"/>
        <w:rPr>
          <w:rStyle w:val="CommentReferenc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25</w:t>
      </w:r>
      <w:r>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 xml:space="preserve">S-wave </w:t>
      </w:r>
      <w:r w:rsidR="00A24A6C">
        <w:rPr>
          <w:rFonts w:ascii="Arial" w:eastAsia="Times New Roman" w:hAnsi="Arial" w:cs="Arial"/>
          <w:b/>
          <w:bCs/>
          <w:kern w:val="0"/>
          <w:sz w:val="20"/>
          <w:szCs w:val="20"/>
          <w:lang w:eastAsia="zh-CN"/>
          <w14:ligatures w14:val="none"/>
        </w:rPr>
        <w:t>velocity versus time</w:t>
      </w:r>
      <w:r>
        <w:rPr>
          <w:rFonts w:ascii="Arial" w:eastAsia="Times New Roman" w:hAnsi="Arial" w:cs="Arial"/>
          <w:b/>
          <w:bCs/>
          <w:kern w:val="0"/>
          <w:sz w:val="20"/>
          <w:szCs w:val="20"/>
          <w:lang w:eastAsia="zh-CN"/>
          <w14:ligatures w14:val="none"/>
        </w:rPr>
        <w:t>.</w:t>
      </w:r>
    </w:p>
    <w:p w14:paraId="65EA6C55" w14:textId="069972EC" w:rsidR="00075928" w:rsidRPr="00434EEE" w:rsidRDefault="009932F3">
      <w:pPr>
        <w:pStyle w:val="NormalWeb"/>
        <w:rPr>
          <w:rFonts w:ascii="Arial" w:eastAsia="Times New Roman" w:hAnsi="Arial" w:cs="Arial"/>
          <w:color w:val="000000" w:themeColor="text1"/>
          <w:sz w:val="20"/>
          <w:szCs w:val="20"/>
          <w14:ligatures w14:val="none"/>
        </w:rPr>
      </w:pPr>
      <w:r w:rsidRPr="00434EEE">
        <w:rPr>
          <w:rFonts w:ascii="Arial" w:eastAsia="Times New Roman" w:hAnsi="Arial" w:cs="Arial"/>
          <w:color w:val="000000" w:themeColor="text1"/>
          <w:sz w:val="20"/>
          <w:szCs w:val="20"/>
          <w:lang w:eastAsia="en-US"/>
          <w14:ligatures w14:val="none"/>
        </w:rPr>
        <w:t xml:space="preserve">Water absorption tests conducted on Day 0 </w:t>
      </w:r>
      <w:r w:rsidR="008473E7" w:rsidRPr="00434EEE">
        <w:rPr>
          <w:rFonts w:ascii="Arial" w:eastAsia="Times New Roman" w:hAnsi="Arial" w:cs="Arial"/>
          <w:color w:val="000000" w:themeColor="text1"/>
          <w:sz w:val="20"/>
          <w:szCs w:val="20"/>
          <w:lang w:eastAsia="en-US"/>
          <w14:ligatures w14:val="none"/>
        </w:rPr>
        <w:t xml:space="preserve">(right after crack generation in the cement mortar samples) </w:t>
      </w:r>
      <w:r w:rsidRPr="00434EEE">
        <w:rPr>
          <w:rFonts w:ascii="Arial" w:eastAsia="Times New Roman" w:hAnsi="Arial" w:cs="Arial"/>
          <w:color w:val="000000" w:themeColor="text1"/>
          <w:sz w:val="20"/>
          <w:szCs w:val="20"/>
          <w:lang w:eastAsia="en-US"/>
          <w14:ligatures w14:val="none"/>
        </w:rPr>
        <w:t xml:space="preserve">and Day 14 </w:t>
      </w:r>
      <w:r w:rsidR="003D4524" w:rsidRPr="00434EEE">
        <w:rPr>
          <w:rFonts w:ascii="Arial" w:eastAsia="Times New Roman" w:hAnsi="Arial" w:cs="Arial"/>
          <w:color w:val="000000" w:themeColor="text1"/>
          <w:sz w:val="20"/>
          <w:szCs w:val="20"/>
          <w:lang w:eastAsia="en-US"/>
          <w14:ligatures w14:val="none"/>
        </w:rPr>
        <w:t xml:space="preserve">of healing </w:t>
      </w:r>
      <w:r w:rsidRPr="00434EEE">
        <w:rPr>
          <w:rFonts w:ascii="Arial" w:eastAsia="Times New Roman" w:hAnsi="Arial" w:cs="Arial"/>
          <w:color w:val="000000" w:themeColor="text1"/>
          <w:sz w:val="20"/>
          <w:szCs w:val="20"/>
          <w:lang w:eastAsia="en-US"/>
          <w14:ligatures w14:val="none"/>
        </w:rPr>
        <w:t xml:space="preserve">(Figure </w:t>
      </w:r>
      <w:r w:rsidR="00165126" w:rsidRPr="00434EEE">
        <w:rPr>
          <w:rFonts w:ascii="Arial" w:eastAsia="Times New Roman" w:hAnsi="Arial" w:cs="Arial"/>
          <w:color w:val="000000" w:themeColor="text1"/>
          <w:sz w:val="20"/>
          <w:szCs w:val="20"/>
          <w:lang w:eastAsia="en-US"/>
          <w14:ligatures w14:val="none"/>
        </w:rPr>
        <w:t>26</w:t>
      </w:r>
      <w:r w:rsidRPr="00434EEE">
        <w:rPr>
          <w:rFonts w:ascii="Arial" w:eastAsia="Times New Roman" w:hAnsi="Arial" w:cs="Arial"/>
          <w:color w:val="000000" w:themeColor="text1"/>
          <w:sz w:val="20"/>
          <w:szCs w:val="20"/>
          <w:lang w:eastAsia="en-US"/>
          <w14:ligatures w14:val="none"/>
        </w:rPr>
        <w:t>) revealed significant differences in permeability performance among the groups. The SP group exhibited the highest initial absorption (~7%), indicating a relatively porous matrix. In contrast, groups incorporating fungal strains or fiber additives (e.g., AN+F, SP+F, NC+F) showed notably lower absorption at Day 14, suggesting enhanced crack sealing and matrix densification. The NC+F group maintained a low absorption rate throughout (~1%), with almost no change between Day 0 and Day 14</w:t>
      </w:r>
      <w:r w:rsidRPr="00434EEE">
        <w:rPr>
          <w:rFonts w:ascii="Arial" w:eastAsia="Times New Roman" w:hAnsi="Arial" w:cs="Arial"/>
          <w:color w:val="000000" w:themeColor="text1"/>
          <w:sz w:val="20"/>
          <w:szCs w:val="20"/>
          <w14:ligatures w14:val="none"/>
        </w:rPr>
        <w:t>.</w:t>
      </w:r>
    </w:p>
    <w:p w14:paraId="65EA6C56" w14:textId="77777777" w:rsidR="00075928" w:rsidRPr="00434EEE" w:rsidRDefault="009932F3">
      <w:pPr>
        <w:pStyle w:val="NormalWeb"/>
        <w:rPr>
          <w:rFonts w:ascii="Arial" w:eastAsia="Times New Roman" w:hAnsi="Arial" w:cs="Arial"/>
          <w:b/>
          <w:bCs/>
          <w:sz w:val="16"/>
          <w:szCs w:val="16"/>
          <w14:ligatures w14:val="none"/>
        </w:rPr>
      </w:pPr>
      <w:r w:rsidRPr="00434EEE">
        <w:rPr>
          <w:rFonts w:ascii="Arial" w:eastAsia="Times New Roman" w:hAnsi="Arial" w:cs="Arial"/>
          <w:color w:val="000000" w:themeColor="text1"/>
          <w:sz w:val="20"/>
          <w:szCs w:val="20"/>
          <w:lang w:eastAsia="en-US"/>
          <w14:ligatures w14:val="none"/>
        </w:rPr>
        <w:t>However, it should be noted that all samples were dried under ambient conditions rather than oven-dried prior to water immersion. This natural drying process may not have fully removed internal moisture, particularly in later testing days (e.g., Day 14 and beyond), potentially leading to an underestimation of the actual water uptake. Therefore, while the relative trends remain meaningful, the absolute absorption values—especially at later stages—may be affected by residual internal moisture.</w:t>
      </w:r>
    </w:p>
    <w:p w14:paraId="65EA6C57" w14:textId="77777777" w:rsidR="00075928" w:rsidRDefault="009932F3">
      <w:pPr>
        <w:pStyle w:val="ListParagraph"/>
        <w:ind w:left="0"/>
        <w:jc w:val="center"/>
        <w:rPr>
          <w:rFonts w:ascii="Arial" w:eastAsia="Times New Roman" w:hAnsi="Arial" w:cs="Arial"/>
          <w:b/>
          <w:bCs/>
          <w:kern w:val="0"/>
          <w:sz w:val="20"/>
          <w:szCs w:val="20"/>
          <w:lang w:eastAsia="zh-CN"/>
          <w14:ligatures w14:val="none"/>
        </w:rPr>
      </w:pPr>
      <w:r>
        <w:rPr>
          <w:noProof/>
        </w:rPr>
        <w:lastRenderedPageBreak/>
        <w:drawing>
          <wp:inline distT="0" distB="0" distL="114300" distR="114300" wp14:anchorId="65EA6CE3" wp14:editId="65EA6CE4">
            <wp:extent cx="5399405" cy="2521585"/>
            <wp:effectExtent l="4445" t="4445" r="6350" b="1397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5EA6C58" w14:textId="6844628B" w:rsidR="00075928" w:rsidRDefault="009932F3">
      <w:pPr>
        <w:pStyle w:val="ListParagraph"/>
        <w:ind w:left="0"/>
        <w:jc w:val="center"/>
        <w:rPr>
          <w:rFonts w:ascii="Arial" w:eastAsia="Times New Roman"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26</w:t>
      </w:r>
      <w:r>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water absorption</w:t>
      </w:r>
      <w:r w:rsidR="00D16A9D">
        <w:rPr>
          <w:rFonts w:ascii="Arial" w:eastAsia="Times New Roman" w:hAnsi="Arial" w:cs="Arial"/>
          <w:b/>
          <w:bCs/>
          <w:kern w:val="0"/>
          <w:sz w:val="20"/>
          <w:szCs w:val="20"/>
          <w:lang w:eastAsia="zh-CN"/>
          <w14:ligatures w14:val="none"/>
        </w:rPr>
        <w:t xml:space="preserve"> tests </w:t>
      </w:r>
      <w:r>
        <w:rPr>
          <w:rFonts w:ascii="Arial" w:eastAsia="Times New Roman" w:hAnsi="Arial" w:cs="Arial" w:hint="eastAsia"/>
          <w:b/>
          <w:bCs/>
          <w:kern w:val="0"/>
          <w:sz w:val="20"/>
          <w:szCs w:val="20"/>
          <w:lang w:eastAsia="zh-CN"/>
          <w14:ligatures w14:val="none"/>
        </w:rPr>
        <w:t>(day</w:t>
      </w:r>
      <w:r w:rsidR="00D16A9D">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 xml:space="preserve">0 </w:t>
      </w:r>
      <w:r w:rsidR="00D16A9D">
        <w:rPr>
          <w:rFonts w:ascii="Arial" w:eastAsia="Times New Roman" w:hAnsi="Arial" w:cs="Arial"/>
          <w:b/>
          <w:bCs/>
          <w:kern w:val="0"/>
          <w:sz w:val="20"/>
          <w:szCs w:val="20"/>
          <w:lang w:eastAsia="zh-CN"/>
          <w14:ligatures w14:val="none"/>
        </w:rPr>
        <w:t xml:space="preserve">and </w:t>
      </w:r>
      <w:r>
        <w:rPr>
          <w:rFonts w:ascii="Arial" w:eastAsia="Times New Roman" w:hAnsi="Arial" w:cs="Arial" w:hint="eastAsia"/>
          <w:b/>
          <w:bCs/>
          <w:kern w:val="0"/>
          <w:sz w:val="20"/>
          <w:szCs w:val="20"/>
          <w:lang w:eastAsia="zh-CN"/>
          <w14:ligatures w14:val="none"/>
        </w:rPr>
        <w:t>day</w:t>
      </w:r>
      <w:r w:rsidR="00D16A9D">
        <w:rPr>
          <w:rFonts w:ascii="Arial" w:eastAsia="Times New Roman" w:hAnsi="Arial" w:cs="Arial"/>
          <w:b/>
          <w:bCs/>
          <w:kern w:val="0"/>
          <w:sz w:val="20"/>
          <w:szCs w:val="20"/>
          <w:lang w:eastAsia="zh-CN"/>
          <w14:ligatures w14:val="none"/>
        </w:rPr>
        <w:t xml:space="preserve"> </w:t>
      </w:r>
      <w:r>
        <w:rPr>
          <w:rFonts w:ascii="Arial" w:eastAsia="Times New Roman" w:hAnsi="Arial" w:cs="Arial" w:hint="eastAsia"/>
          <w:b/>
          <w:bCs/>
          <w:kern w:val="0"/>
          <w:sz w:val="20"/>
          <w:szCs w:val="20"/>
          <w:lang w:eastAsia="zh-CN"/>
          <w14:ligatures w14:val="none"/>
        </w:rPr>
        <w:t>14)</w:t>
      </w:r>
      <w:r>
        <w:rPr>
          <w:rFonts w:ascii="Arial" w:eastAsia="Times New Roman" w:hAnsi="Arial" w:cs="Arial"/>
          <w:b/>
          <w:bCs/>
          <w:kern w:val="0"/>
          <w:sz w:val="20"/>
          <w:szCs w:val="20"/>
          <w:lang w:eastAsia="zh-CN"/>
          <w14:ligatures w14:val="none"/>
        </w:rPr>
        <w:t>.</w:t>
      </w:r>
    </w:p>
    <w:p w14:paraId="646EE9A1" w14:textId="77777777" w:rsidR="00B32EB6" w:rsidRDefault="00B32EB6" w:rsidP="00B32EB6">
      <w:pPr>
        <w:pStyle w:val="ListParagraph"/>
        <w:ind w:left="0"/>
        <w:rPr>
          <w:rFonts w:ascii="Arial" w:eastAsia="Times New Roman" w:hAnsi="Arial" w:cs="Arial"/>
          <w:b/>
          <w:bCs/>
          <w:kern w:val="0"/>
          <w:sz w:val="20"/>
          <w:szCs w:val="20"/>
          <w:lang w:eastAsia="zh-CN"/>
          <w14:ligatures w14:val="none"/>
        </w:rPr>
      </w:pPr>
    </w:p>
    <w:p w14:paraId="3BEF65C3" w14:textId="46040C64" w:rsidR="00606C41" w:rsidRDefault="00875D74" w:rsidP="00B32EB6">
      <w:pPr>
        <w:pStyle w:val="ListParagraph"/>
        <w:ind w:left="0"/>
        <w:rPr>
          <w:rStyle w:val="CommentReference"/>
          <w:rFonts w:ascii="Arial" w:hAnsi="Arial" w:cs="Arial"/>
          <w:sz w:val="20"/>
          <w:szCs w:val="20"/>
        </w:rPr>
      </w:pPr>
      <w:r w:rsidRPr="00434EEE">
        <w:rPr>
          <w:rStyle w:val="CommentReference"/>
          <w:rFonts w:ascii="Arial" w:hAnsi="Arial" w:cs="Arial"/>
          <w:sz w:val="20"/>
          <w:szCs w:val="20"/>
        </w:rPr>
        <w:t xml:space="preserve">Figure 27 shows </w:t>
      </w:r>
      <w:r w:rsidR="00282EDC" w:rsidRPr="00434EEE">
        <w:rPr>
          <w:rStyle w:val="CommentReference"/>
          <w:rFonts w:ascii="Arial" w:hAnsi="Arial" w:cs="Arial"/>
          <w:sz w:val="20"/>
          <w:szCs w:val="20"/>
        </w:rPr>
        <w:t xml:space="preserve">the </w:t>
      </w:r>
      <w:r w:rsidR="004E3FD1" w:rsidRPr="00434EEE">
        <w:rPr>
          <w:rStyle w:val="CommentReference"/>
          <w:rFonts w:ascii="Arial" w:hAnsi="Arial" w:cs="Arial"/>
          <w:sz w:val="20"/>
          <w:szCs w:val="20"/>
        </w:rPr>
        <w:t xml:space="preserve">progress of cracking healing on the bottom surface of specimen AN-3. </w:t>
      </w:r>
      <w:r w:rsidR="00664738" w:rsidRPr="00434EEE">
        <w:rPr>
          <w:rStyle w:val="CommentReference"/>
          <w:rFonts w:ascii="Arial" w:hAnsi="Arial" w:cs="Arial"/>
          <w:sz w:val="20"/>
          <w:szCs w:val="20"/>
        </w:rPr>
        <w:t>It shows that the c</w:t>
      </w:r>
      <w:r w:rsidR="004E3FD1" w:rsidRPr="00434EEE">
        <w:rPr>
          <w:rStyle w:val="CommentReference"/>
          <w:rFonts w:ascii="Arial" w:hAnsi="Arial" w:cs="Arial"/>
          <w:sz w:val="20"/>
          <w:szCs w:val="20"/>
        </w:rPr>
        <w:t xml:space="preserve">rack </w:t>
      </w:r>
      <w:r w:rsidR="00664738" w:rsidRPr="00434EEE">
        <w:rPr>
          <w:rStyle w:val="CommentReference"/>
          <w:rFonts w:ascii="Arial" w:hAnsi="Arial" w:cs="Arial"/>
          <w:sz w:val="20"/>
          <w:szCs w:val="20"/>
        </w:rPr>
        <w:t xml:space="preserve">was </w:t>
      </w:r>
      <w:r w:rsidR="004E3FD1" w:rsidRPr="00434EEE">
        <w:rPr>
          <w:rStyle w:val="CommentReference"/>
          <w:rFonts w:ascii="Arial" w:hAnsi="Arial" w:cs="Arial"/>
          <w:sz w:val="20"/>
          <w:szCs w:val="20"/>
        </w:rPr>
        <w:t>heal</w:t>
      </w:r>
      <w:r w:rsidR="00664738" w:rsidRPr="00434EEE">
        <w:rPr>
          <w:rStyle w:val="CommentReference"/>
          <w:rFonts w:ascii="Arial" w:hAnsi="Arial" w:cs="Arial"/>
          <w:sz w:val="20"/>
          <w:szCs w:val="20"/>
        </w:rPr>
        <w:t xml:space="preserve">ed with time, which confirms that </w:t>
      </w:r>
      <w:r w:rsidR="00282EDC" w:rsidRPr="00434EEE">
        <w:rPr>
          <w:rStyle w:val="CommentReference"/>
          <w:rFonts w:ascii="Arial" w:hAnsi="Arial" w:cs="Arial"/>
          <w:i/>
          <w:iCs/>
          <w:sz w:val="20"/>
          <w:szCs w:val="20"/>
        </w:rPr>
        <w:t>Aspergillus niger</w:t>
      </w:r>
      <w:r w:rsidR="00282EDC" w:rsidRPr="00434EEE">
        <w:rPr>
          <w:rStyle w:val="CommentReference"/>
          <w:rFonts w:ascii="Arial" w:hAnsi="Arial" w:cs="Arial"/>
          <w:sz w:val="20"/>
          <w:szCs w:val="20"/>
        </w:rPr>
        <w:t xml:space="preserve"> </w:t>
      </w:r>
      <w:r w:rsidR="00664738" w:rsidRPr="00434EEE">
        <w:rPr>
          <w:rStyle w:val="CommentReference"/>
          <w:rFonts w:ascii="Arial" w:hAnsi="Arial" w:cs="Arial"/>
          <w:sz w:val="20"/>
          <w:szCs w:val="20"/>
        </w:rPr>
        <w:t>can heal</w:t>
      </w:r>
      <w:r w:rsidR="00282EDC" w:rsidRPr="00434EEE">
        <w:rPr>
          <w:rStyle w:val="CommentReference"/>
          <w:rFonts w:ascii="Arial" w:hAnsi="Arial" w:cs="Arial"/>
          <w:sz w:val="20"/>
          <w:szCs w:val="20"/>
        </w:rPr>
        <w:t xml:space="preserve"> c</w:t>
      </w:r>
      <w:r w:rsidR="00777746" w:rsidRPr="00434EEE">
        <w:rPr>
          <w:rStyle w:val="CommentReference"/>
          <w:rFonts w:ascii="Arial" w:hAnsi="Arial" w:cs="Arial"/>
          <w:sz w:val="20"/>
          <w:szCs w:val="20"/>
        </w:rPr>
        <w:t>ement mortar cracks through an induced mineral precipitation</w:t>
      </w:r>
      <w:r w:rsidR="00282EDC" w:rsidRPr="00434EEE">
        <w:rPr>
          <w:rStyle w:val="CommentReference"/>
          <w:rFonts w:ascii="Arial" w:hAnsi="Arial" w:cs="Arial"/>
          <w:sz w:val="20"/>
          <w:szCs w:val="20"/>
        </w:rPr>
        <w:t xml:space="preserve"> (i.e., precipitation of calcium oxalate as shown in Figure 19)</w:t>
      </w:r>
      <w:r w:rsidR="00777746" w:rsidRPr="00434EEE">
        <w:rPr>
          <w:rStyle w:val="CommentReference"/>
          <w:rFonts w:ascii="Arial" w:hAnsi="Arial" w:cs="Arial"/>
          <w:sz w:val="20"/>
          <w:szCs w:val="20"/>
        </w:rPr>
        <w:t>.</w:t>
      </w:r>
    </w:p>
    <w:p w14:paraId="4809A38F" w14:textId="77777777" w:rsidR="00606C41" w:rsidRDefault="00606C41" w:rsidP="00B32EB6">
      <w:pPr>
        <w:pStyle w:val="ListParagraph"/>
        <w:ind w:left="0"/>
        <w:rPr>
          <w:rStyle w:val="CommentReference"/>
          <w:rFonts w:ascii="Arial" w:hAnsi="Arial" w:cs="Arial"/>
          <w:sz w:val="20"/>
          <w:szCs w:val="20"/>
        </w:rPr>
      </w:pPr>
    </w:p>
    <w:p w14:paraId="746CDCA6" w14:textId="77777777" w:rsidR="00606C41" w:rsidRDefault="00606C41" w:rsidP="00B32EB6">
      <w:pPr>
        <w:pStyle w:val="ListParagraph"/>
        <w:ind w:left="0"/>
        <w:rPr>
          <w:rStyle w:val="CommentReference"/>
          <w:rFonts w:ascii="Arial" w:hAnsi="Arial" w:cs="Arial"/>
          <w:sz w:val="20"/>
          <w:szCs w:val="20"/>
        </w:rPr>
      </w:pPr>
    </w:p>
    <w:p w14:paraId="24BE72C5" w14:textId="77777777" w:rsidR="00606C41" w:rsidRDefault="00606C41" w:rsidP="00B32EB6">
      <w:pPr>
        <w:pStyle w:val="ListParagraph"/>
        <w:ind w:left="0"/>
        <w:rPr>
          <w:rStyle w:val="CommentReference"/>
          <w:rFonts w:ascii="Arial" w:hAnsi="Arial" w:cs="Arial"/>
          <w:sz w:val="20"/>
          <w:szCs w:val="20"/>
        </w:rPr>
      </w:pPr>
    </w:p>
    <w:p w14:paraId="19389D2A" w14:textId="77777777" w:rsidR="00606C41" w:rsidRDefault="00606C41" w:rsidP="00B32EB6">
      <w:pPr>
        <w:pStyle w:val="ListParagraph"/>
        <w:ind w:left="0"/>
        <w:rPr>
          <w:rStyle w:val="CommentReference"/>
          <w:rFonts w:ascii="Arial" w:hAnsi="Arial" w:cs="Arial"/>
          <w:sz w:val="20"/>
          <w:szCs w:val="20"/>
        </w:rPr>
      </w:pPr>
    </w:p>
    <w:p w14:paraId="5A5565CA" w14:textId="77777777" w:rsidR="00606C41" w:rsidRDefault="00606C41" w:rsidP="00B32EB6">
      <w:pPr>
        <w:pStyle w:val="ListParagraph"/>
        <w:ind w:left="0"/>
        <w:rPr>
          <w:rStyle w:val="CommentReference"/>
          <w:rFonts w:ascii="Arial" w:hAnsi="Arial" w:cs="Arial"/>
          <w:sz w:val="20"/>
          <w:szCs w:val="20"/>
        </w:rPr>
      </w:pPr>
    </w:p>
    <w:p w14:paraId="0282F83A" w14:textId="77777777" w:rsidR="00606C41" w:rsidRDefault="00606C41" w:rsidP="00B32EB6">
      <w:pPr>
        <w:pStyle w:val="ListParagraph"/>
        <w:ind w:left="0"/>
        <w:rPr>
          <w:rStyle w:val="CommentReference"/>
          <w:rFonts w:ascii="Arial" w:hAnsi="Arial" w:cs="Arial"/>
          <w:sz w:val="20"/>
          <w:szCs w:val="20"/>
        </w:rPr>
      </w:pPr>
    </w:p>
    <w:p w14:paraId="6CD151B6" w14:textId="77777777" w:rsidR="00606C41" w:rsidRDefault="00606C41" w:rsidP="00B32EB6">
      <w:pPr>
        <w:pStyle w:val="ListParagraph"/>
        <w:ind w:left="0"/>
        <w:rPr>
          <w:rStyle w:val="CommentReference"/>
          <w:rFonts w:ascii="Arial" w:hAnsi="Arial" w:cs="Arial"/>
          <w:sz w:val="20"/>
          <w:szCs w:val="20"/>
        </w:rPr>
      </w:pPr>
    </w:p>
    <w:p w14:paraId="5B807FBE" w14:textId="77777777" w:rsidR="00606C41" w:rsidRDefault="00606C41" w:rsidP="00B32EB6">
      <w:pPr>
        <w:pStyle w:val="ListParagraph"/>
        <w:ind w:left="0"/>
        <w:rPr>
          <w:rStyle w:val="CommentReference"/>
          <w:rFonts w:ascii="Arial" w:hAnsi="Arial" w:cs="Arial"/>
          <w:sz w:val="20"/>
          <w:szCs w:val="20"/>
        </w:rPr>
      </w:pPr>
    </w:p>
    <w:p w14:paraId="16396076" w14:textId="77777777" w:rsidR="00606C41" w:rsidRDefault="00606C41" w:rsidP="00B32EB6">
      <w:pPr>
        <w:pStyle w:val="ListParagraph"/>
        <w:ind w:left="0"/>
        <w:rPr>
          <w:rStyle w:val="CommentReference"/>
          <w:rFonts w:ascii="Arial" w:hAnsi="Arial" w:cs="Arial"/>
          <w:sz w:val="20"/>
          <w:szCs w:val="20"/>
        </w:rPr>
      </w:pPr>
    </w:p>
    <w:p w14:paraId="117859C5" w14:textId="77777777" w:rsidR="00606C41" w:rsidRDefault="00606C41" w:rsidP="00B32EB6">
      <w:pPr>
        <w:pStyle w:val="ListParagraph"/>
        <w:ind w:left="0"/>
        <w:rPr>
          <w:rStyle w:val="CommentReference"/>
          <w:rFonts w:ascii="Arial" w:hAnsi="Arial" w:cs="Arial"/>
          <w:sz w:val="20"/>
          <w:szCs w:val="20"/>
        </w:rPr>
      </w:pPr>
    </w:p>
    <w:p w14:paraId="366A0988" w14:textId="77777777" w:rsidR="00606C41" w:rsidRDefault="00606C41" w:rsidP="00B32EB6">
      <w:pPr>
        <w:pStyle w:val="ListParagraph"/>
        <w:ind w:left="0"/>
        <w:rPr>
          <w:rStyle w:val="CommentReference"/>
          <w:rFonts w:ascii="Arial" w:hAnsi="Arial" w:cs="Arial"/>
          <w:sz w:val="20"/>
          <w:szCs w:val="20"/>
        </w:rPr>
      </w:pPr>
    </w:p>
    <w:p w14:paraId="057CF93C" w14:textId="77777777" w:rsidR="00606C41" w:rsidRDefault="00606C41" w:rsidP="00B32EB6">
      <w:pPr>
        <w:pStyle w:val="ListParagraph"/>
        <w:ind w:left="0"/>
        <w:rPr>
          <w:rStyle w:val="CommentReference"/>
          <w:rFonts w:ascii="Arial" w:hAnsi="Arial" w:cs="Arial"/>
          <w:sz w:val="20"/>
          <w:szCs w:val="20"/>
        </w:rPr>
      </w:pPr>
    </w:p>
    <w:p w14:paraId="068BE214" w14:textId="77777777" w:rsidR="00606C41" w:rsidRPr="00434EEE" w:rsidRDefault="00606C41" w:rsidP="00434EEE">
      <w:pPr>
        <w:pStyle w:val="ListParagraph"/>
        <w:ind w:left="0"/>
        <w:rPr>
          <w:rStyle w:val="CommentReference"/>
          <w:rFonts w:ascii="Arial" w:hAnsi="Arial" w:cs="Arial"/>
          <w:sz w:val="20"/>
          <w:szCs w:val="20"/>
        </w:rPr>
      </w:pPr>
    </w:p>
    <w:p w14:paraId="65EA6C5C" w14:textId="77777777" w:rsidR="00075928" w:rsidRPr="00606C41" w:rsidRDefault="00075928">
      <w:pPr>
        <w:pStyle w:val="ListParagraph"/>
        <w:ind w:left="0"/>
        <w:rPr>
          <w:rFonts w:ascii="Arial" w:eastAsiaTheme="minorEastAsia" w:hAnsi="Arial" w:cs="Arial"/>
          <w:b/>
          <w:bCs/>
          <w:kern w:val="0"/>
          <w:sz w:val="20"/>
          <w:szCs w:val="20"/>
          <w:lang w:eastAsia="zh-CN"/>
          <w14:ligatures w14:val="none"/>
        </w:rPr>
      </w:pPr>
    </w:p>
    <w:p w14:paraId="505DEEAB" w14:textId="77777777" w:rsidR="00B267C1" w:rsidRPr="00606C41" w:rsidRDefault="00B267C1">
      <w:pPr>
        <w:pStyle w:val="ListParagraph"/>
        <w:ind w:left="0"/>
        <w:rPr>
          <w:rFonts w:ascii="Arial" w:eastAsiaTheme="minorEastAsia" w:hAnsi="Arial" w:cs="Arial"/>
          <w:b/>
          <w:bCs/>
          <w:kern w:val="0"/>
          <w:sz w:val="20"/>
          <w:szCs w:val="20"/>
          <w:lang w:eastAsia="zh-CN"/>
          <w14:ligatures w14:val="none"/>
        </w:rPr>
      </w:pPr>
    </w:p>
    <w:p w14:paraId="33CB1434" w14:textId="77777777" w:rsidR="00B267C1" w:rsidRPr="00606C41" w:rsidRDefault="00B267C1">
      <w:pPr>
        <w:pStyle w:val="ListParagraph"/>
        <w:ind w:left="0"/>
        <w:rPr>
          <w:rFonts w:ascii="Arial" w:eastAsiaTheme="minorEastAsia" w:hAnsi="Arial" w:cs="Arial"/>
          <w:b/>
          <w:bCs/>
          <w:kern w:val="0"/>
          <w:sz w:val="20"/>
          <w:szCs w:val="20"/>
          <w:lang w:eastAsia="zh-CN"/>
          <w14:ligatures w14:val="none"/>
        </w:rPr>
      </w:pPr>
    </w:p>
    <w:p w14:paraId="5E8FCCBB" w14:textId="55E73CD3" w:rsidR="00097290" w:rsidRDefault="00B267C1">
      <w:pPr>
        <w:pStyle w:val="ListParagraph"/>
        <w:ind w:left="0"/>
        <w:rPr>
          <w:rFonts w:ascii="Arial" w:eastAsiaTheme="minorEastAsia" w:hAnsi="Arial" w:cs="Arial"/>
          <w:b/>
          <w:bCs/>
          <w:kern w:val="0"/>
          <w:sz w:val="20"/>
          <w:szCs w:val="20"/>
          <w:lang w:eastAsia="zh-CN"/>
          <w14:ligatures w14:val="none"/>
        </w:rPr>
      </w:pPr>
      <w:r>
        <w:rPr>
          <w:noProof/>
          <w:sz w:val="20"/>
        </w:rPr>
        <w:lastRenderedPageBreak/>
        <mc:AlternateContent>
          <mc:Choice Requires="wps">
            <w:drawing>
              <wp:anchor distT="0" distB="0" distL="114300" distR="114300" simplePos="0" relativeHeight="251658242" behindDoc="0" locked="0" layoutInCell="1" allowOverlap="1" wp14:anchorId="21750BC6" wp14:editId="3C9C5E03">
                <wp:simplePos x="0" y="0"/>
                <wp:positionH relativeFrom="column">
                  <wp:posOffset>2836545</wp:posOffset>
                </wp:positionH>
                <wp:positionV relativeFrom="paragraph">
                  <wp:posOffset>9525</wp:posOffset>
                </wp:positionV>
                <wp:extent cx="400050" cy="317500"/>
                <wp:effectExtent l="0" t="0" r="6350" b="0"/>
                <wp:wrapNone/>
                <wp:docPr id="921442220" name="文本框 921442220"/>
                <wp:cNvGraphicFramePr/>
                <a:graphic xmlns:a="http://schemas.openxmlformats.org/drawingml/2006/main">
                  <a:graphicData uri="http://schemas.microsoft.com/office/word/2010/wordprocessingShape">
                    <wps:wsp>
                      <wps:cNvSpPr txBox="1"/>
                      <wps:spPr>
                        <a:xfrm>
                          <a:off x="0" y="0"/>
                          <a:ext cx="400050" cy="317500"/>
                        </a:xfrm>
                        <a:prstGeom prst="rect">
                          <a:avLst/>
                        </a:prstGeom>
                        <a:noFill/>
                        <a:ln w="6350">
                          <a:noFill/>
                        </a:ln>
                        <a:effectLst/>
                      </wps:spPr>
                      <wps:txbx>
                        <w:txbxContent>
                          <w:p w14:paraId="22ED0BE2" w14:textId="25CBBDC7" w:rsidR="00B267C1" w:rsidRDefault="00B267C1" w:rsidP="00B267C1">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b</w:t>
                            </w:r>
                            <w:r>
                              <w:rPr>
                                <w:rFonts w:ascii="Arial" w:eastAsia="STSong" w:hAnsi="Arial" w:cs="Arial"/>
                                <w:b/>
                                <w:bCs/>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1750BC6" id="_x0000_t202" coordsize="21600,21600" o:spt="202" path="m,l,21600r21600,l21600,xe">
                <v:stroke joinstyle="miter"/>
                <v:path gradientshapeok="t" o:connecttype="rect"/>
              </v:shapetype>
              <v:shape id="文本框 921442220" o:spid="_x0000_s1026" type="#_x0000_t202" style="position:absolute;margin-left:223.35pt;margin-top:.75pt;width:31.5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" filled="f" stroked="f" strokeweight=".5pt">
                <v:textbox>
                  <w:txbxContent>
                    <w:p w14:paraId="22ED0BE2" w14:textId="25CBBDC7" w:rsidR="00B267C1" w:rsidRDefault="00B267C1" w:rsidP="00B267C1">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b</w:t>
                      </w:r>
                      <w:r>
                        <w:rPr>
                          <w:rFonts w:ascii="Arial" w:eastAsia="STSong" w:hAnsi="Arial" w:cs="Arial"/>
                          <w:b/>
                          <w:bCs/>
                          <w:lang w:eastAsia="zh-CN"/>
                        </w:rPr>
                        <w:t>)</w:t>
                      </w:r>
                    </w:p>
                  </w:txbxContent>
                </v:textbox>
              </v:shape>
            </w:pict>
          </mc:Fallback>
        </mc:AlternateContent>
      </w:r>
      <w:r>
        <w:rPr>
          <w:noProof/>
          <w:sz w:val="20"/>
        </w:rPr>
        <mc:AlternateContent>
          <mc:Choice Requires="wps">
            <w:drawing>
              <wp:anchor distT="0" distB="0" distL="114300" distR="114300" simplePos="0" relativeHeight="251658243" behindDoc="0" locked="0" layoutInCell="1" allowOverlap="1" wp14:anchorId="15A2FF1E" wp14:editId="1673B72D">
                <wp:simplePos x="0" y="0"/>
                <wp:positionH relativeFrom="column">
                  <wp:posOffset>0</wp:posOffset>
                </wp:positionH>
                <wp:positionV relativeFrom="paragraph">
                  <wp:posOffset>2876550</wp:posOffset>
                </wp:positionV>
                <wp:extent cx="400050" cy="317500"/>
                <wp:effectExtent l="0" t="0" r="6350" b="0"/>
                <wp:wrapNone/>
                <wp:docPr id="1530623112" name="文本框 1530623112"/>
                <wp:cNvGraphicFramePr/>
                <a:graphic xmlns:a="http://schemas.openxmlformats.org/drawingml/2006/main">
                  <a:graphicData uri="http://schemas.microsoft.com/office/word/2010/wordprocessingShape">
                    <wps:wsp>
                      <wps:cNvSpPr txBox="1"/>
                      <wps:spPr>
                        <a:xfrm>
                          <a:off x="0" y="0"/>
                          <a:ext cx="400050" cy="317500"/>
                        </a:xfrm>
                        <a:prstGeom prst="rect">
                          <a:avLst/>
                        </a:prstGeom>
                        <a:noFill/>
                        <a:ln w="6350">
                          <a:noFill/>
                        </a:ln>
                        <a:effectLst/>
                      </wps:spPr>
                      <wps:txbx>
                        <w:txbxContent>
                          <w:p w14:paraId="5B56258A" w14:textId="143C3B82" w:rsidR="00B267C1" w:rsidRDefault="00B267C1" w:rsidP="00B267C1">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c</w:t>
                            </w:r>
                            <w:r>
                              <w:rPr>
                                <w:rFonts w:ascii="Arial" w:eastAsia="STSong" w:hAnsi="Arial" w:cs="Arial"/>
                                <w:b/>
                                <w:bCs/>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A2FF1E" id="文本框 1530623112" o:spid="_x0000_s1027" type="#_x0000_t202" style="position:absolute;margin-left:0;margin-top:226.5pt;width:31.5pt;height: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" filled="f" stroked="f" strokeweight=".5pt">
                <v:textbox>
                  <w:txbxContent>
                    <w:p w14:paraId="5B56258A" w14:textId="143C3B82" w:rsidR="00B267C1" w:rsidRDefault="00B267C1" w:rsidP="00B267C1">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c</w:t>
                      </w:r>
                      <w:r>
                        <w:rPr>
                          <w:rFonts w:ascii="Arial" w:eastAsia="STSong" w:hAnsi="Arial" w:cs="Arial"/>
                          <w:b/>
                          <w:bCs/>
                          <w:lang w:eastAsia="zh-CN"/>
                        </w:rPr>
                        <w:t>)</w:t>
                      </w:r>
                    </w:p>
                  </w:txbxContent>
                </v:textbox>
              </v:shape>
            </w:pict>
          </mc:Fallback>
        </mc:AlternateContent>
      </w:r>
      <w:r>
        <w:rPr>
          <w:noProof/>
          <w:sz w:val="20"/>
        </w:rPr>
        <mc:AlternateContent>
          <mc:Choice Requires="wps">
            <w:drawing>
              <wp:anchor distT="0" distB="0" distL="114300" distR="114300" simplePos="0" relativeHeight="251658241" behindDoc="0" locked="0" layoutInCell="1" allowOverlap="1" wp14:anchorId="5163AF79" wp14:editId="784F8EF1">
                <wp:simplePos x="0" y="0"/>
                <wp:positionH relativeFrom="column">
                  <wp:posOffset>0</wp:posOffset>
                </wp:positionH>
                <wp:positionV relativeFrom="paragraph">
                  <wp:posOffset>0</wp:posOffset>
                </wp:positionV>
                <wp:extent cx="400050" cy="317500"/>
                <wp:effectExtent l="0" t="0" r="6350" b="0"/>
                <wp:wrapNone/>
                <wp:docPr id="12" name="文本框 12"/>
                <wp:cNvGraphicFramePr/>
                <a:graphic xmlns:a="http://schemas.openxmlformats.org/drawingml/2006/main">
                  <a:graphicData uri="http://schemas.microsoft.com/office/word/2010/wordprocessingShape">
                    <wps:wsp>
                      <wps:cNvSpPr txBox="1"/>
                      <wps:spPr>
                        <a:xfrm>
                          <a:off x="1698625" y="1019175"/>
                          <a:ext cx="400050" cy="317500"/>
                        </a:xfrm>
                        <a:prstGeom prst="rect">
                          <a:avLst/>
                        </a:prstGeom>
                        <a:noFill/>
                        <a:ln w="6350">
                          <a:noFill/>
                        </a:ln>
                        <a:effectLst/>
                      </wps:spPr>
                      <wps:txbx>
                        <w:txbxContent>
                          <w:p w14:paraId="5D1B7E1A" w14:textId="77777777" w:rsidR="00B267C1" w:rsidRDefault="00B267C1" w:rsidP="00B267C1">
                            <w:pPr>
                              <w:rPr>
                                <w:rFonts w:ascii="Arial" w:eastAsia="STSong" w:hAnsi="Arial" w:cs="Arial"/>
                                <w:b/>
                                <w:bCs/>
                                <w:lang w:eastAsia="zh-CN"/>
                              </w:rPr>
                            </w:pPr>
                            <w:r>
                              <w:rPr>
                                <w:rFonts w:ascii="Arial" w:eastAsia="STSong" w:hAnsi="Arial" w:cs="Arial"/>
                                <w:b/>
                                <w:bCs/>
                                <w:lang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63AF79" id="文本框 12" o:spid="_x0000_s1028" type="#_x0000_t202" style="position:absolute;margin-left:0;margin-top:0;width:31.5pt;height: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" filled="f" stroked="f" strokeweight=".5pt">
                <v:textbox>
                  <w:txbxContent>
                    <w:p w14:paraId="5D1B7E1A" w14:textId="77777777" w:rsidR="00B267C1" w:rsidRDefault="00B267C1" w:rsidP="00B267C1">
                      <w:pPr>
                        <w:rPr>
                          <w:rFonts w:ascii="Arial" w:eastAsia="STSong" w:hAnsi="Arial" w:cs="Arial"/>
                          <w:b/>
                          <w:bCs/>
                          <w:lang w:eastAsia="zh-CN"/>
                        </w:rPr>
                      </w:pPr>
                      <w:r>
                        <w:rPr>
                          <w:rFonts w:ascii="Arial" w:eastAsia="STSong" w:hAnsi="Arial" w:cs="Arial"/>
                          <w:b/>
                          <w:bCs/>
                          <w:lang w:eastAsia="zh-CN"/>
                        </w:rPr>
                        <w:t>(a)</w:t>
                      </w:r>
                    </w:p>
                  </w:txbxContent>
                </v:textbox>
              </v:shape>
            </w:pict>
          </mc:Fallback>
        </mc:AlternateContent>
      </w:r>
      <w:r>
        <w:rPr>
          <w:rFonts w:ascii="Arial" w:eastAsiaTheme="minorEastAsia" w:hAnsi="Arial" w:cs="Arial"/>
          <w:b/>
          <w:bCs/>
          <w:noProof/>
          <w:kern w:val="0"/>
          <w:sz w:val="20"/>
          <w:szCs w:val="20"/>
          <w:lang w:eastAsia="zh-CN"/>
          <w14:ligatures w14:val="none"/>
        </w:rPr>
        <w:drawing>
          <wp:inline distT="0" distB="0" distL="0" distR="0" wp14:anchorId="265C69D6" wp14:editId="0E3236CE">
            <wp:extent cx="2836800" cy="2880000"/>
            <wp:effectExtent l="0" t="0" r="1905" b="0"/>
            <wp:docPr id="16721848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0895" r="23892"/>
                    <a:stretch>
                      <a:fillRect/>
                    </a:stretch>
                  </pic:blipFill>
                  <pic:spPr bwMode="auto">
                    <a:xfrm>
                      <a:off x="0" y="0"/>
                      <a:ext cx="2836800" cy="28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heme="minorEastAsia" w:hAnsi="Arial" w:cs="Arial"/>
          <w:b/>
          <w:bCs/>
          <w:noProof/>
          <w:kern w:val="0"/>
          <w:sz w:val="20"/>
          <w:szCs w:val="20"/>
          <w:lang w:eastAsia="zh-CN"/>
          <w14:ligatures w14:val="none"/>
        </w:rPr>
        <w:drawing>
          <wp:inline distT="0" distB="0" distL="0" distR="0" wp14:anchorId="036FB584" wp14:editId="24F96206">
            <wp:extent cx="3014134" cy="2879725"/>
            <wp:effectExtent l="0" t="0" r="0" b="0"/>
            <wp:docPr id="711648799" name="图片 2" descr="图片包含 室内, 物体, 照片, 前&#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48799" name="图片 2" descr="图片包含 室内, 物体, 照片, 前&#10;&#10;AI 生成的内容可能不正确。"/>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097" t="10777" r="19494" b="17887"/>
                    <a:stretch>
                      <a:fillRect/>
                    </a:stretch>
                  </pic:blipFill>
                  <pic:spPr bwMode="auto">
                    <a:xfrm>
                      <a:off x="0" y="0"/>
                      <a:ext cx="3014422"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4D4851ED" w14:textId="3737AEA1" w:rsidR="00B267C1" w:rsidRDefault="0072728D">
      <w:pPr>
        <w:pStyle w:val="ListParagraph"/>
        <w:ind w:left="0"/>
        <w:rPr>
          <w:rFonts w:ascii="Arial" w:eastAsiaTheme="minorEastAsia" w:hAnsi="Arial" w:cs="Arial"/>
          <w:b/>
          <w:bCs/>
          <w:kern w:val="0"/>
          <w:sz w:val="20"/>
          <w:szCs w:val="20"/>
          <w:lang w:eastAsia="zh-CN"/>
          <w14:ligatures w14:val="none"/>
        </w:rPr>
      </w:pPr>
      <w:r>
        <w:rPr>
          <w:noProof/>
          <w:sz w:val="20"/>
        </w:rPr>
        <mc:AlternateContent>
          <mc:Choice Requires="wps">
            <w:drawing>
              <wp:anchor distT="0" distB="0" distL="114300" distR="114300" simplePos="0" relativeHeight="251658244" behindDoc="0" locked="0" layoutInCell="1" allowOverlap="1" wp14:anchorId="6E3334AC" wp14:editId="3D7890B0">
                <wp:simplePos x="0" y="0"/>
                <wp:positionH relativeFrom="column">
                  <wp:posOffset>2838450</wp:posOffset>
                </wp:positionH>
                <wp:positionV relativeFrom="paragraph">
                  <wp:posOffset>-3175</wp:posOffset>
                </wp:positionV>
                <wp:extent cx="400050" cy="317500"/>
                <wp:effectExtent l="0" t="0" r="6350" b="0"/>
                <wp:wrapNone/>
                <wp:docPr id="1531402346" name="文本框 1531402346"/>
                <wp:cNvGraphicFramePr/>
                <a:graphic xmlns:a="http://schemas.openxmlformats.org/drawingml/2006/main">
                  <a:graphicData uri="http://schemas.microsoft.com/office/word/2010/wordprocessingShape">
                    <wps:wsp>
                      <wps:cNvSpPr txBox="1"/>
                      <wps:spPr>
                        <a:xfrm>
                          <a:off x="0" y="0"/>
                          <a:ext cx="400050" cy="317500"/>
                        </a:xfrm>
                        <a:prstGeom prst="rect">
                          <a:avLst/>
                        </a:prstGeom>
                        <a:noFill/>
                        <a:ln w="6350">
                          <a:noFill/>
                        </a:ln>
                        <a:effectLst/>
                      </wps:spPr>
                      <wps:txbx>
                        <w:txbxContent>
                          <w:p w14:paraId="2A67939A" w14:textId="65C3B740" w:rsidR="0072728D" w:rsidRDefault="0072728D" w:rsidP="0072728D">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d</w:t>
                            </w:r>
                            <w:r>
                              <w:rPr>
                                <w:rFonts w:ascii="Arial" w:eastAsia="STSong" w:hAnsi="Arial" w:cs="Arial"/>
                                <w:b/>
                                <w:bCs/>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3334AC" id="文本框 1531402346" o:spid="_x0000_s1029" type="#_x0000_t202" style="position:absolute;margin-left:223.5pt;margin-top:-.25pt;width:31.5pt;height: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" filled="f" stroked="f" strokeweight=".5pt">
                <v:textbox>
                  <w:txbxContent>
                    <w:p w14:paraId="2A67939A" w14:textId="65C3B740" w:rsidR="0072728D" w:rsidRDefault="0072728D" w:rsidP="0072728D">
                      <w:pPr>
                        <w:rPr>
                          <w:rFonts w:ascii="Arial" w:eastAsia="STSong" w:hAnsi="Arial" w:cs="Arial"/>
                          <w:b/>
                          <w:bCs/>
                          <w:lang w:eastAsia="zh-CN"/>
                        </w:rPr>
                      </w:pPr>
                      <w:r>
                        <w:rPr>
                          <w:rFonts w:ascii="Arial" w:eastAsia="STSong" w:hAnsi="Arial" w:cs="Arial"/>
                          <w:b/>
                          <w:bCs/>
                          <w:lang w:eastAsia="zh-CN"/>
                        </w:rPr>
                        <w:t>(</w:t>
                      </w:r>
                      <w:r>
                        <w:rPr>
                          <w:rFonts w:ascii="Arial" w:eastAsia="STSong" w:hAnsi="Arial" w:cs="Arial" w:hint="eastAsia"/>
                          <w:b/>
                          <w:bCs/>
                          <w:lang w:eastAsia="zh-CN"/>
                        </w:rPr>
                        <w:t>d</w:t>
                      </w:r>
                      <w:r>
                        <w:rPr>
                          <w:rFonts w:ascii="Arial" w:eastAsia="STSong" w:hAnsi="Arial" w:cs="Arial"/>
                          <w:b/>
                          <w:bCs/>
                          <w:lang w:eastAsia="zh-CN"/>
                        </w:rPr>
                        <w:t>)</w:t>
                      </w:r>
                    </w:p>
                  </w:txbxContent>
                </v:textbox>
              </v:shape>
            </w:pict>
          </mc:Fallback>
        </mc:AlternateContent>
      </w:r>
      <w:r>
        <w:rPr>
          <w:rFonts w:ascii="Arial" w:eastAsiaTheme="minorEastAsia" w:hAnsi="Arial" w:cs="Arial"/>
          <w:b/>
          <w:bCs/>
          <w:noProof/>
          <w:kern w:val="0"/>
          <w:sz w:val="20"/>
          <w:szCs w:val="20"/>
          <w:lang w:eastAsia="zh-CN"/>
          <w14:ligatures w14:val="none"/>
        </w:rPr>
        <w:drawing>
          <wp:inline distT="0" distB="0" distL="0" distR="0" wp14:anchorId="0B8D8F2F" wp14:editId="02D3A4CD">
            <wp:extent cx="2838450" cy="2879725"/>
            <wp:effectExtent l="0" t="0" r="0" b="0"/>
            <wp:docPr id="2117904587" name="图片 4" descr="图片包含 物体, 游戏机, 旧, 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04587" name="图片 4" descr="图片包含 物体, 游戏机, 旧, 钟表&#10;&#10;AI 生成的内容可能不正确。"/>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7337" t="8959" r="35665" b="19128"/>
                    <a:stretch>
                      <a:fillRect/>
                    </a:stretch>
                  </pic:blipFill>
                  <pic:spPr bwMode="auto">
                    <a:xfrm>
                      <a:off x="0" y="0"/>
                      <a:ext cx="2838721" cy="2880000"/>
                    </a:xfrm>
                    <a:prstGeom prst="rect">
                      <a:avLst/>
                    </a:prstGeom>
                    <a:noFill/>
                    <a:ln>
                      <a:noFill/>
                    </a:ln>
                    <a:extLst>
                      <a:ext uri="{53640926-AAD7-44D8-BBD7-CCE9431645EC}">
                        <a14:shadowObscured xmlns:a14="http://schemas.microsoft.com/office/drawing/2010/main"/>
                      </a:ext>
                    </a:extLst>
                  </pic:spPr>
                </pic:pic>
              </a:graphicData>
            </a:graphic>
          </wp:inline>
        </w:drawing>
      </w:r>
      <w:r w:rsidR="00B267C1">
        <w:rPr>
          <w:rFonts w:ascii="Arial" w:eastAsiaTheme="minorEastAsia" w:hAnsi="Arial" w:cs="Arial"/>
          <w:b/>
          <w:bCs/>
          <w:noProof/>
          <w:kern w:val="0"/>
          <w:sz w:val="20"/>
          <w:szCs w:val="20"/>
          <w:lang w:eastAsia="zh-CN"/>
          <w14:ligatures w14:val="none"/>
        </w:rPr>
        <w:drawing>
          <wp:inline distT="0" distB="0" distL="0" distR="0" wp14:anchorId="3CF7EBFD" wp14:editId="0A44B67A">
            <wp:extent cx="3013710" cy="2879090"/>
            <wp:effectExtent l="0" t="0" r="0" b="0"/>
            <wp:docPr id="1217034847" name="图片 3" descr="图片包含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34847" name="图片 3" descr="图片包含 游戏机&#10;&#10;AI 生成的内容可能不正确。"/>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5693" t="9916" r="33094" b="16168"/>
                    <a:stretch>
                      <a:fillRect/>
                    </a:stretch>
                  </pic:blipFill>
                  <pic:spPr bwMode="auto">
                    <a:xfrm>
                      <a:off x="0" y="0"/>
                      <a:ext cx="3014663"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7C5E05CB" w14:textId="1A73F661" w:rsidR="0072728D" w:rsidRDefault="0072728D" w:rsidP="00434EEE">
      <w:pPr>
        <w:pStyle w:val="ListParagraph"/>
        <w:ind w:left="0"/>
        <w:jc w:val="center"/>
        <w:rPr>
          <w:rFonts w:ascii="Arial" w:eastAsiaTheme="minorEastAsia" w:hAnsi="Arial" w:cs="Arial"/>
          <w:b/>
          <w:bCs/>
          <w:kern w:val="0"/>
          <w:sz w:val="20"/>
          <w:szCs w:val="20"/>
          <w:lang w:eastAsia="zh-CN"/>
          <w14:ligatures w14:val="none"/>
        </w:rPr>
      </w:pPr>
      <w:r>
        <w:rPr>
          <w:rFonts w:ascii="Arial" w:eastAsia="Times New Roman" w:hAnsi="Arial" w:cs="Arial"/>
          <w:b/>
          <w:bCs/>
          <w:kern w:val="0"/>
          <w:sz w:val="20"/>
          <w:szCs w:val="20"/>
          <w:lang w:eastAsia="zh-CN"/>
          <w14:ligatures w14:val="none"/>
        </w:rPr>
        <w:t xml:space="preserve">Figure </w:t>
      </w:r>
      <w:r>
        <w:rPr>
          <w:rFonts w:ascii="Arial" w:eastAsia="Times New Roman" w:hAnsi="Arial" w:cs="Arial" w:hint="eastAsia"/>
          <w:b/>
          <w:bCs/>
          <w:kern w:val="0"/>
          <w:sz w:val="20"/>
          <w:szCs w:val="20"/>
          <w:lang w:eastAsia="zh-CN"/>
          <w14:ligatures w14:val="none"/>
        </w:rPr>
        <w:t>2</w:t>
      </w:r>
      <w:r>
        <w:rPr>
          <w:rFonts w:ascii="Arial" w:eastAsiaTheme="minorEastAsia" w:hAnsi="Arial" w:cs="Arial" w:hint="eastAsia"/>
          <w:b/>
          <w:bCs/>
          <w:kern w:val="0"/>
          <w:sz w:val="20"/>
          <w:szCs w:val="20"/>
          <w:lang w:eastAsia="zh-CN"/>
          <w14:ligatures w14:val="none"/>
        </w:rPr>
        <w:t>7</w:t>
      </w:r>
      <w:r>
        <w:rPr>
          <w:rFonts w:ascii="Arial" w:eastAsia="Times New Roman" w:hAnsi="Arial" w:cs="Arial"/>
          <w:b/>
          <w:bCs/>
          <w:kern w:val="0"/>
          <w:sz w:val="20"/>
          <w:szCs w:val="20"/>
          <w:lang w:eastAsia="zh-CN"/>
          <w14:ligatures w14:val="none"/>
        </w:rPr>
        <w:t xml:space="preserve">. </w:t>
      </w:r>
      <w:r w:rsidRPr="0072728D">
        <w:rPr>
          <w:rFonts w:ascii="Arial" w:eastAsia="Times New Roman" w:hAnsi="Arial" w:cs="Arial"/>
          <w:b/>
          <w:bCs/>
          <w:kern w:val="0"/>
          <w:sz w:val="20"/>
          <w:szCs w:val="20"/>
          <w:lang w:eastAsia="zh-CN"/>
          <w14:ligatures w14:val="none"/>
        </w:rPr>
        <w:t xml:space="preserve">Time-lapse images of the bottom surface of specimen </w:t>
      </w:r>
      <w:r w:rsidR="001B7F33" w:rsidRPr="00434EEE">
        <w:rPr>
          <w:rFonts w:ascii="Arial" w:eastAsia="Times New Roman" w:hAnsi="Arial" w:cs="Arial"/>
          <w:b/>
          <w:bCs/>
          <w:i/>
          <w:iCs/>
          <w:kern w:val="0"/>
          <w:sz w:val="20"/>
          <w:szCs w:val="20"/>
          <w:lang w:eastAsia="zh-CN"/>
          <w14:ligatures w14:val="none"/>
        </w:rPr>
        <w:t>Aspergillus niger</w:t>
      </w:r>
      <w:r w:rsidR="001B7F33" w:rsidRPr="001B7F33" w:rsidDel="001B7F33">
        <w:rPr>
          <w:rFonts w:ascii="Arial" w:eastAsia="Times New Roman" w:hAnsi="Arial" w:cs="Arial"/>
          <w:b/>
          <w:bCs/>
          <w:kern w:val="0"/>
          <w:sz w:val="20"/>
          <w:szCs w:val="20"/>
          <w:lang w:eastAsia="zh-CN"/>
          <w14:ligatures w14:val="none"/>
        </w:rPr>
        <w:t xml:space="preserve"> </w:t>
      </w:r>
      <w:r w:rsidR="001B7F33">
        <w:rPr>
          <w:rFonts w:ascii="Arial" w:eastAsia="Times New Roman" w:hAnsi="Arial" w:cs="Arial"/>
          <w:b/>
          <w:bCs/>
          <w:kern w:val="0"/>
          <w:sz w:val="20"/>
          <w:szCs w:val="20"/>
          <w:lang w:eastAsia="zh-CN"/>
          <w14:ligatures w14:val="none"/>
        </w:rPr>
        <w:t xml:space="preserve">with fiber </w:t>
      </w:r>
      <w:r w:rsidRPr="0072728D">
        <w:rPr>
          <w:rFonts w:ascii="Arial" w:eastAsia="Times New Roman" w:hAnsi="Arial" w:cs="Arial"/>
          <w:b/>
          <w:bCs/>
          <w:kern w:val="0"/>
          <w:sz w:val="20"/>
          <w:szCs w:val="20"/>
          <w:lang w:eastAsia="zh-CN"/>
          <w14:ligatures w14:val="none"/>
        </w:rPr>
        <w:t>showing crack healing progression from day 0 to day 16: (a) initial crack at day 0, (b) after 8 days, (c) after 12 days, and (d) after 16 days.</w:t>
      </w:r>
    </w:p>
    <w:p w14:paraId="2A9151B6" w14:textId="77777777" w:rsidR="00097290" w:rsidRPr="00434EEE" w:rsidRDefault="00097290" w:rsidP="00434EEE">
      <w:pPr>
        <w:pStyle w:val="ListParagraph"/>
        <w:ind w:left="0"/>
        <w:rPr>
          <w:rFonts w:ascii="Arial" w:eastAsiaTheme="minorEastAsia" w:hAnsi="Arial" w:cs="Arial"/>
          <w:b/>
          <w:bCs/>
          <w:kern w:val="0"/>
          <w:sz w:val="20"/>
          <w:szCs w:val="20"/>
          <w:lang w:eastAsia="zh-CN"/>
          <w14:ligatures w14:val="none"/>
        </w:rPr>
      </w:pPr>
    </w:p>
    <w:p w14:paraId="65EA6C5D" w14:textId="77777777" w:rsidR="00075928" w:rsidRDefault="009932F3" w:rsidP="00434EEE">
      <w:pPr>
        <w:pStyle w:val="Heading1"/>
      </w:pPr>
      <w:bookmarkStart w:id="19" w:name="_Toc204250351"/>
      <w:r>
        <w:t>Conclusions and recommendations:</w:t>
      </w:r>
      <w:bookmarkEnd w:id="19"/>
    </w:p>
    <w:p w14:paraId="3EB50DD7" w14:textId="77777777" w:rsidR="00302144" w:rsidRDefault="00302144">
      <w:pPr>
        <w:rPr>
          <w:rFonts w:ascii="Arial" w:eastAsia="Times New Roman" w:hAnsi="Arial" w:cs="Arial"/>
          <w:i/>
          <w:iCs/>
          <w:kern w:val="0"/>
          <w:sz w:val="22"/>
          <w:szCs w:val="22"/>
          <w14:ligatures w14:val="none"/>
        </w:rPr>
      </w:pPr>
    </w:p>
    <w:p w14:paraId="5B543677" w14:textId="723C755A" w:rsidR="00AE2C75" w:rsidRPr="00434EEE" w:rsidRDefault="009932F3" w:rsidP="00434EEE">
      <w:pPr>
        <w:pStyle w:val="Heading2"/>
      </w:pPr>
      <w:bookmarkStart w:id="20" w:name="_Toc204250352"/>
      <w:r w:rsidRPr="00434EEE">
        <w:t>6.1 Summary of Key Findings</w:t>
      </w:r>
      <w:bookmarkEnd w:id="20"/>
    </w:p>
    <w:p w14:paraId="65EA6C63" w14:textId="6C55F24E" w:rsidR="00075928" w:rsidRPr="00434EEE" w:rsidRDefault="009932F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 xml:space="preserve">This study demonstrated the feasibility of using bio-based methods, specifically fungal strains, to enhance crack healing and durability </w:t>
      </w:r>
      <w:r w:rsidR="00E103B4" w:rsidRPr="00434EEE">
        <w:rPr>
          <w:rFonts w:ascii="Arial" w:eastAsia="Times New Roman" w:hAnsi="Arial" w:cs="Arial"/>
          <w:color w:val="000000" w:themeColor="text1"/>
          <w:kern w:val="0"/>
          <w:sz w:val="20"/>
          <w:szCs w:val="20"/>
          <w14:ligatures w14:val="none"/>
        </w:rPr>
        <w:t>of</w:t>
      </w:r>
      <w:r w:rsidRPr="00434EEE">
        <w:rPr>
          <w:rFonts w:ascii="Arial" w:eastAsia="Times New Roman" w:hAnsi="Arial" w:cs="Arial"/>
          <w:color w:val="000000" w:themeColor="text1"/>
          <w:kern w:val="0"/>
          <w:sz w:val="20"/>
          <w:szCs w:val="20"/>
          <w14:ligatures w14:val="none"/>
        </w:rPr>
        <w:t xml:space="preserve"> cementitious materials.</w:t>
      </w:r>
      <w:r w:rsidR="00AE2C75"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 xml:space="preserve">Among the tested strains, </w:t>
      </w:r>
      <w:r w:rsidRPr="00434EEE">
        <w:rPr>
          <w:rFonts w:ascii="Arial" w:eastAsia="Times New Roman" w:hAnsi="Arial" w:cs="Arial"/>
          <w:i/>
          <w:iCs/>
          <w:color w:val="000000" w:themeColor="text1"/>
          <w:kern w:val="0"/>
          <w:sz w:val="20"/>
          <w:szCs w:val="20"/>
          <w14:ligatures w14:val="none"/>
        </w:rPr>
        <w:t>Neurospora crassa</w:t>
      </w:r>
      <w:r w:rsidRPr="00434EEE">
        <w:rPr>
          <w:rFonts w:ascii="Arial" w:eastAsia="Times New Roman" w:hAnsi="Arial" w:cs="Arial"/>
          <w:color w:val="000000" w:themeColor="text1"/>
          <w:kern w:val="0"/>
          <w:sz w:val="20"/>
          <w:szCs w:val="20"/>
          <w14:ligatures w14:val="none"/>
        </w:rPr>
        <w:t xml:space="preserve"> (NC) exhibited the best performance in promoting early hardening, increasing compressive strength, and reducing water absorption</w:t>
      </w:r>
      <w:r w:rsidR="00AE2C75"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The incorporation of hydrophilic cellulose fibers facilitated more uniform distribution of biological agents and enhanced water ingress during treatment, which contributed to improved healing outcomes.</w:t>
      </w:r>
      <w:r w:rsidR="00AE2C75"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Mechanical (compressive strength), acoustic (P- and S-wave), and permeability (water absorption) tests collectively confirmed the improvement in internal matrix continuity and healing efficiency post-treatment.</w:t>
      </w:r>
      <w:r w:rsidR="007C05AC"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 xml:space="preserve">One notable and unexpected observation in this study was the </w:t>
      </w:r>
      <w:r w:rsidRPr="00434EEE">
        <w:rPr>
          <w:rFonts w:ascii="Arial" w:eastAsia="Times New Roman" w:hAnsi="Arial" w:cs="Arial"/>
          <w:color w:val="000000" w:themeColor="text1"/>
          <w:kern w:val="0"/>
          <w:sz w:val="20"/>
          <w:szCs w:val="20"/>
          <w14:ligatures w14:val="none"/>
        </w:rPr>
        <w:lastRenderedPageBreak/>
        <w:t xml:space="preserve">increase in compressive strength in mortar specimens treated with fungal cultures, particularly </w:t>
      </w:r>
      <w:r w:rsidRPr="00434EEE">
        <w:rPr>
          <w:rFonts w:ascii="Arial" w:eastAsia="Times New Roman" w:hAnsi="Arial" w:cs="Arial"/>
          <w:i/>
          <w:iCs/>
          <w:color w:val="000000" w:themeColor="text1"/>
          <w:kern w:val="0"/>
          <w:sz w:val="20"/>
          <w:szCs w:val="20"/>
          <w14:ligatures w14:val="none"/>
        </w:rPr>
        <w:t>Neurospora crassa</w:t>
      </w:r>
      <w:r w:rsidRPr="00434EEE">
        <w:rPr>
          <w:rFonts w:ascii="Arial" w:eastAsia="Times New Roman" w:hAnsi="Arial" w:cs="Arial"/>
          <w:color w:val="000000" w:themeColor="text1"/>
          <w:kern w:val="0"/>
          <w:sz w:val="20"/>
          <w:szCs w:val="20"/>
          <w14:ligatures w14:val="none"/>
        </w:rPr>
        <w:t xml:space="preserve"> and </w:t>
      </w:r>
      <w:r w:rsidRPr="00434EEE">
        <w:rPr>
          <w:rFonts w:ascii="Arial" w:eastAsia="Times New Roman" w:hAnsi="Arial" w:cs="Arial"/>
          <w:i/>
          <w:iCs/>
          <w:color w:val="000000" w:themeColor="text1"/>
          <w:kern w:val="0"/>
          <w:sz w:val="20"/>
          <w:szCs w:val="20"/>
          <w14:ligatures w14:val="none"/>
        </w:rPr>
        <w:t>Aspergillus niger</w:t>
      </w:r>
      <w:r w:rsidR="00D9604E" w:rsidRPr="00434EEE">
        <w:rPr>
          <w:rFonts w:ascii="Arial" w:eastAsia="Times New Roman" w:hAnsi="Arial" w:cs="Arial"/>
          <w:color w:val="000000" w:themeColor="text1"/>
          <w:kern w:val="0"/>
          <w:sz w:val="20"/>
          <w:szCs w:val="20"/>
          <w14:ligatures w14:val="none"/>
        </w:rPr>
        <w:t xml:space="preserve">, which will be </w:t>
      </w:r>
      <w:r w:rsidR="00AC707A" w:rsidRPr="00434EEE">
        <w:rPr>
          <w:rFonts w:ascii="Arial" w:eastAsia="Times New Roman" w:hAnsi="Arial" w:cs="Arial"/>
          <w:color w:val="000000" w:themeColor="text1"/>
          <w:kern w:val="0"/>
          <w:sz w:val="20"/>
          <w:szCs w:val="20"/>
          <w14:ligatures w14:val="none"/>
        </w:rPr>
        <w:t>further investigated in the future.</w:t>
      </w:r>
    </w:p>
    <w:p w14:paraId="3157C3AC" w14:textId="77777777" w:rsidR="00AE2C75" w:rsidRPr="00434EEE" w:rsidRDefault="00AE2C75">
      <w:pPr>
        <w:rPr>
          <w:rFonts w:ascii="Arial" w:eastAsia="Times New Roman" w:hAnsi="Arial" w:cs="Arial"/>
          <w:color w:val="000000" w:themeColor="text1"/>
          <w:kern w:val="0"/>
          <w:sz w:val="20"/>
          <w:szCs w:val="20"/>
          <w14:ligatures w14:val="none"/>
        </w:rPr>
      </w:pPr>
    </w:p>
    <w:p w14:paraId="65EA6C64" w14:textId="77777777" w:rsidR="00075928" w:rsidRPr="00434EEE" w:rsidRDefault="009932F3" w:rsidP="00434EEE">
      <w:pPr>
        <w:pStyle w:val="Heading2"/>
      </w:pPr>
      <w:bookmarkStart w:id="21" w:name="_Toc204250353"/>
      <w:r w:rsidRPr="00434EEE">
        <w:t>6.2 Scientific Implications</w:t>
      </w:r>
      <w:bookmarkEnd w:id="21"/>
    </w:p>
    <w:p w14:paraId="65EA6C67" w14:textId="11392F13" w:rsidR="00075928" w:rsidRPr="00434EEE" w:rsidRDefault="009932F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The results suggest that fungal-based mineralization may serve as a viable alternative to traditional bacterial MICP in self-healing concrete applications.</w:t>
      </w:r>
      <w:r w:rsidR="00302144"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The coupling of biological healing agents with fibrous additives represents a promising multi-functional strategy that balances crack closure with matrix integrity.</w:t>
      </w:r>
      <w:r w:rsidR="00302144"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Unlike traditional self-healing approaches that aim merely to restore lost strength, this strength enhancement suggests a new role of fungal cultures as bio-based concrete admixtures that may contribute directly to material densification</w:t>
      </w:r>
      <w:r w:rsidRPr="00434EEE">
        <w:rPr>
          <w:rFonts w:ascii="Arial" w:hAnsi="Arial" w:cs="Arial"/>
          <w:color w:val="000000" w:themeColor="text1"/>
          <w:kern w:val="0"/>
          <w:sz w:val="20"/>
          <w:szCs w:val="20"/>
          <w:lang w:eastAsia="zh-CN"/>
          <w14:ligatures w14:val="none"/>
        </w:rPr>
        <w:t xml:space="preserve"> (Seifan et al. 2019)</w:t>
      </w:r>
      <w:r w:rsidRPr="00434EEE">
        <w:rPr>
          <w:rFonts w:ascii="Arial" w:eastAsia="Times New Roman" w:hAnsi="Arial" w:cs="Arial"/>
          <w:color w:val="000000" w:themeColor="text1"/>
          <w:kern w:val="0"/>
          <w:sz w:val="20"/>
          <w:szCs w:val="20"/>
          <w14:ligatures w14:val="none"/>
        </w:rPr>
        <w:t>.</w:t>
      </w:r>
      <w:r w:rsidR="00302144"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This finding expands the scope of microbial applications in cementitious materials and offers a potential pathway toward low-carbon, bio-enhanced construction materials.</w:t>
      </w:r>
    </w:p>
    <w:p w14:paraId="11D730B4" w14:textId="77777777" w:rsidR="00122BDE" w:rsidRPr="00434EEE" w:rsidRDefault="00122BDE">
      <w:pPr>
        <w:rPr>
          <w:rFonts w:ascii="Arial" w:eastAsia="Times New Roman" w:hAnsi="Arial" w:cs="Arial"/>
          <w:color w:val="000000" w:themeColor="text1"/>
          <w:kern w:val="0"/>
          <w:sz w:val="20"/>
          <w:szCs w:val="20"/>
          <w14:ligatures w14:val="none"/>
        </w:rPr>
      </w:pPr>
    </w:p>
    <w:p w14:paraId="65EA6C68" w14:textId="77777777" w:rsidR="00075928" w:rsidRPr="00434EEE" w:rsidRDefault="009932F3" w:rsidP="00434EEE">
      <w:pPr>
        <w:pStyle w:val="Heading2"/>
      </w:pPr>
      <w:bookmarkStart w:id="22" w:name="_Toc204250354"/>
      <w:r w:rsidRPr="006A1E41">
        <w:rPr>
          <w:color w:val="000000" w:themeColor="text1"/>
        </w:rPr>
        <w:t>6</w:t>
      </w:r>
      <w:r w:rsidRPr="00434EEE">
        <w:t>.3 Recommendations for Future Research</w:t>
      </w:r>
      <w:bookmarkEnd w:id="22"/>
    </w:p>
    <w:p w14:paraId="65EA6C6A" w14:textId="049DDD0C" w:rsidR="00075928" w:rsidRPr="00434EEE" w:rsidRDefault="00DC2132">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It is recommended to explore a broader range of fungal species with different enzymatic or metabolic characteristics to optimize healing performance under various environmental conditions. It is necessary to investigate long-term durability and field applicability of fungal-treated concrete, including freeze-thaw resistance, carbonation depth, and real-crack healing.</w:t>
      </w:r>
    </w:p>
    <w:p w14:paraId="4C4A3C96" w14:textId="77777777" w:rsidR="00122BDE" w:rsidRPr="00434EEE" w:rsidRDefault="00122BDE">
      <w:pPr>
        <w:rPr>
          <w:rFonts w:ascii="Arial" w:eastAsia="Times New Roman" w:hAnsi="Arial" w:cs="Arial"/>
          <w:color w:val="000000" w:themeColor="text1"/>
          <w:kern w:val="0"/>
          <w:sz w:val="20"/>
          <w:szCs w:val="20"/>
          <w14:ligatures w14:val="none"/>
        </w:rPr>
      </w:pPr>
    </w:p>
    <w:p w14:paraId="65EA6C6B" w14:textId="77777777" w:rsidR="00075928" w:rsidRPr="00434EEE" w:rsidRDefault="009932F3" w:rsidP="00434EEE">
      <w:pPr>
        <w:pStyle w:val="Heading2"/>
      </w:pPr>
      <w:bookmarkStart w:id="23" w:name="_Toc204250355"/>
      <w:r w:rsidRPr="00434EEE">
        <w:t>6.4 Challenges and Limitations</w:t>
      </w:r>
      <w:bookmarkEnd w:id="23"/>
    </w:p>
    <w:p w14:paraId="65EA6C6F" w14:textId="7243D297" w:rsidR="00075928" w:rsidRPr="00434EEE" w:rsidRDefault="009932F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14:ligatures w14:val="none"/>
        </w:rPr>
        <w:t>Maintaining microbial viability during sample preparation and curing remains a critical technical bottleneck.</w:t>
      </w:r>
      <w:r w:rsidR="00DC2132"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Environmental variations (temperature, pH, moisture) significantly influence fungal activity and may limit reproducibility across sites.</w:t>
      </w:r>
      <w:r w:rsidR="008F7195"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Current healing evaluations rely on indirect indicators; more refined quantification techniques are required to isolate the biological contribution from physical effects.</w:t>
      </w:r>
      <w:r w:rsidR="008F7195" w:rsidRPr="00434EEE">
        <w:rPr>
          <w:rFonts w:ascii="Arial" w:eastAsia="Times New Roman" w:hAnsi="Arial" w:cs="Arial"/>
          <w:color w:val="000000" w:themeColor="text1"/>
          <w:kern w:val="0"/>
          <w:sz w:val="20"/>
          <w:szCs w:val="20"/>
          <w14:ligatures w14:val="none"/>
        </w:rPr>
        <w:t xml:space="preserve"> </w:t>
      </w:r>
      <w:r w:rsidRPr="00434EEE">
        <w:rPr>
          <w:rFonts w:ascii="Arial" w:eastAsia="Times New Roman" w:hAnsi="Arial" w:cs="Arial"/>
          <w:color w:val="000000" w:themeColor="text1"/>
          <w:kern w:val="0"/>
          <w:sz w:val="20"/>
          <w:szCs w:val="20"/>
          <w14:ligatures w14:val="none"/>
        </w:rPr>
        <w:t>Future studies are needed to explore the underlying mechanisms of strength gain and identify optimal fungal strains or metabolic pathways for admixture design.</w:t>
      </w:r>
    </w:p>
    <w:p w14:paraId="65EA6C70" w14:textId="77777777" w:rsidR="00075928" w:rsidRDefault="00075928">
      <w:pPr>
        <w:rPr>
          <w:rFonts w:ascii="Arial" w:eastAsia="Times New Roman" w:hAnsi="Arial" w:cs="Arial"/>
          <w:color w:val="000000" w:themeColor="text1"/>
          <w:kern w:val="0"/>
          <w:sz w:val="22"/>
          <w:szCs w:val="22"/>
          <w14:ligatures w14:val="none"/>
        </w:rPr>
      </w:pPr>
    </w:p>
    <w:p w14:paraId="65EA6C71" w14:textId="77777777" w:rsidR="00075928" w:rsidRDefault="009932F3" w:rsidP="00434EEE">
      <w:pPr>
        <w:pStyle w:val="Heading1"/>
      </w:pPr>
      <w:bookmarkStart w:id="24" w:name="_Toc204250356"/>
      <w:r>
        <w:t>Practical application/impact on transportation infrastructure:</w:t>
      </w:r>
      <w:bookmarkEnd w:id="24"/>
    </w:p>
    <w:p w14:paraId="65EA6C72" w14:textId="77777777" w:rsidR="00075928" w:rsidRPr="00434EEE" w:rsidRDefault="009932F3">
      <w:pPr>
        <w:rPr>
          <w:rFonts w:ascii="Arial" w:eastAsia="Times New Roman" w:hAnsi="Arial" w:cs="Arial"/>
          <w:color w:val="000000" w:themeColor="text1"/>
          <w:kern w:val="0"/>
          <w:sz w:val="20"/>
          <w:szCs w:val="20"/>
          <w14:ligatures w14:val="none"/>
        </w:rPr>
      </w:pPr>
      <w:r w:rsidRPr="00434EEE">
        <w:rPr>
          <w:rFonts w:ascii="Arial" w:eastAsia="Times New Roman" w:hAnsi="Arial" w:cs="Arial"/>
          <w:color w:val="000000" w:themeColor="text1"/>
          <w:kern w:val="0"/>
          <w:sz w:val="20"/>
          <w:szCs w:val="20"/>
          <w:lang w:eastAsia="zh-CN"/>
          <w14:ligatures w14:val="none"/>
        </w:rPr>
        <w:t>This study highlights the potential of incorporating fungal-induced biomineralization into cement-based materials to improve their self-healing capability and durability. In transportation infrastructure—such as bridges, pavements, tunnel linings, and retaining structures—cracking remains a persistent challenge, often resulting in high maintenance costs and reduced service life. The experimental results demonstrate that mortar specimens treated with fungal cultures, particularly </w:t>
      </w:r>
      <w:r w:rsidRPr="00434EEE">
        <w:rPr>
          <w:rFonts w:ascii="Arial" w:eastAsia="Times New Roman" w:hAnsi="Arial" w:cs="Arial"/>
          <w:i/>
          <w:iCs/>
          <w:color w:val="000000" w:themeColor="text1"/>
          <w:kern w:val="0"/>
          <w:sz w:val="20"/>
          <w:szCs w:val="20"/>
          <w:lang w:eastAsia="zh-CN"/>
          <w14:ligatures w14:val="none"/>
        </w:rPr>
        <w:t>Neurospora crassa</w:t>
      </w:r>
      <w:r w:rsidRPr="00434EEE">
        <w:rPr>
          <w:rFonts w:ascii="Arial" w:eastAsia="Times New Roman" w:hAnsi="Arial" w:cs="Arial"/>
          <w:color w:val="000000" w:themeColor="text1"/>
          <w:kern w:val="0"/>
          <w:sz w:val="20"/>
          <w:szCs w:val="20"/>
          <w:lang w:eastAsia="zh-CN"/>
          <w14:ligatures w14:val="none"/>
        </w:rPr>
        <w:t xml:space="preserve">, in combination with hydrophilic fibers, exhibited not only enhanced healing performance but also improved mechanical properties. These findings suggest the feasibility of using fungal agents as a biological additive to promote long-term integrity and passive self-repair of concrete structures. </w:t>
      </w:r>
    </w:p>
    <w:p w14:paraId="65EA6C73" w14:textId="77777777" w:rsidR="00075928" w:rsidRPr="00434EEE" w:rsidRDefault="00075928">
      <w:pPr>
        <w:rPr>
          <w:rFonts w:ascii="Arial" w:eastAsia="Times New Roman" w:hAnsi="Arial" w:cs="Arial"/>
          <w:kern w:val="0"/>
          <w:sz w:val="16"/>
          <w:szCs w:val="16"/>
          <w14:ligatures w14:val="none"/>
        </w:rPr>
      </w:pPr>
    </w:p>
    <w:p w14:paraId="65EA6C74" w14:textId="77777777" w:rsidR="00075928" w:rsidRDefault="009932F3" w:rsidP="00434EEE">
      <w:pPr>
        <w:pStyle w:val="Heading1"/>
      </w:pPr>
      <w:bookmarkStart w:id="25" w:name="_Toc204250357"/>
      <w:r>
        <w:t>References:</w:t>
      </w:r>
      <w:bookmarkEnd w:id="25"/>
    </w:p>
    <w:p w14:paraId="65EA6C75"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Achal, V., Mukherjee, A., &amp; Reddy, M. S. (2011). Effect of calcifying bacteria on permeation properties of concrete structures. </w:t>
      </w:r>
      <w:r w:rsidRPr="00434EEE">
        <w:rPr>
          <w:rFonts w:ascii="Arial" w:eastAsia="Times New Roman" w:hAnsi="Arial" w:cs="Arial"/>
          <w:i/>
          <w:iCs/>
          <w:color w:val="000000"/>
          <w:sz w:val="20"/>
          <w:szCs w:val="20"/>
        </w:rPr>
        <w:t>Journal of Industrial Microbiology &amp; Biotechnology</w:t>
      </w:r>
      <w:r w:rsidRPr="00434EEE">
        <w:rPr>
          <w:rFonts w:ascii="Arial" w:eastAsia="Times New Roman" w:hAnsi="Arial" w:cs="Arial"/>
          <w:color w:val="000000"/>
          <w:sz w:val="20"/>
          <w:szCs w:val="20"/>
        </w:rPr>
        <w:t>, 38(9), 1229–1234. https://doi.org/10.1007/s10295-010-0891-z</w:t>
      </w:r>
    </w:p>
    <w:p w14:paraId="65EA6C76"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ASTM C305-20. (2020). </w:t>
      </w:r>
      <w:r w:rsidRPr="00434EEE">
        <w:rPr>
          <w:rFonts w:ascii="Arial" w:eastAsia="Times New Roman" w:hAnsi="Arial" w:cs="Arial"/>
          <w:i/>
          <w:iCs/>
          <w:color w:val="000000"/>
          <w:sz w:val="20"/>
          <w:szCs w:val="20"/>
        </w:rPr>
        <w:t>Standard Practice for Mechanical Mixing of Hydraulic Cement Pastes and Mortars of Plastic Consistency</w:t>
      </w:r>
      <w:r w:rsidRPr="00434EEE">
        <w:rPr>
          <w:rFonts w:ascii="Arial" w:eastAsia="Times New Roman" w:hAnsi="Arial" w:cs="Arial"/>
          <w:color w:val="000000"/>
          <w:sz w:val="20"/>
          <w:szCs w:val="20"/>
        </w:rPr>
        <w:t>. ASTM International. https://doi.org/10.1520/C0305-20</w:t>
      </w:r>
    </w:p>
    <w:p w14:paraId="65EA6C77"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ASTM C39/C39M-23. (2023). </w:t>
      </w:r>
      <w:r w:rsidRPr="00434EEE">
        <w:rPr>
          <w:rFonts w:ascii="Arial" w:eastAsia="Times New Roman" w:hAnsi="Arial" w:cs="Arial"/>
          <w:i/>
          <w:iCs/>
          <w:color w:val="000000"/>
          <w:sz w:val="20"/>
          <w:szCs w:val="20"/>
        </w:rPr>
        <w:t>Standard Test Method for Compressive Strength of Cylindrical Concrete Specimens</w:t>
      </w:r>
      <w:r w:rsidRPr="00434EEE">
        <w:rPr>
          <w:rFonts w:ascii="Arial" w:eastAsia="Times New Roman" w:hAnsi="Arial" w:cs="Arial"/>
          <w:color w:val="000000"/>
          <w:sz w:val="20"/>
          <w:szCs w:val="20"/>
        </w:rPr>
        <w:t>. ASTM International. https://doi.org/10.1520/C0039_C0039M-23</w:t>
      </w:r>
    </w:p>
    <w:p w14:paraId="65EA6C78"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ASTM C496/C496M-17. (2017). </w:t>
      </w:r>
      <w:r w:rsidRPr="00434EEE">
        <w:rPr>
          <w:rFonts w:ascii="Arial" w:eastAsia="Times New Roman" w:hAnsi="Arial" w:cs="Arial"/>
          <w:i/>
          <w:iCs/>
          <w:color w:val="000000"/>
          <w:sz w:val="20"/>
          <w:szCs w:val="20"/>
        </w:rPr>
        <w:t>Standard Test Method for Splitting Tensile Strength of Cylindrical Concrete Specimens</w:t>
      </w:r>
      <w:r w:rsidRPr="00434EEE">
        <w:rPr>
          <w:rFonts w:ascii="Arial" w:eastAsia="Times New Roman" w:hAnsi="Arial" w:cs="Arial"/>
          <w:color w:val="000000"/>
          <w:sz w:val="20"/>
          <w:szCs w:val="20"/>
        </w:rPr>
        <w:t>. ASTM International. https://doi.org/10.1520/C0496_C0496M-17</w:t>
      </w:r>
    </w:p>
    <w:p w14:paraId="65EA6C79"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ASTM C642-13. (2013). </w:t>
      </w:r>
      <w:r w:rsidRPr="00434EEE">
        <w:rPr>
          <w:rFonts w:ascii="Arial" w:eastAsia="Times New Roman" w:hAnsi="Arial" w:cs="Arial"/>
          <w:i/>
          <w:iCs/>
          <w:color w:val="000000"/>
          <w:sz w:val="20"/>
          <w:szCs w:val="20"/>
        </w:rPr>
        <w:t>Standard Test Method for Density, Absorption, and Voids in Hardened Concrete</w:t>
      </w:r>
      <w:r w:rsidRPr="00434EEE">
        <w:rPr>
          <w:rFonts w:ascii="Arial" w:eastAsia="Times New Roman" w:hAnsi="Arial" w:cs="Arial"/>
          <w:color w:val="000000"/>
          <w:sz w:val="20"/>
          <w:szCs w:val="20"/>
        </w:rPr>
        <w:t>. ASTM International. https://doi.org/10.1520/C0642-13</w:t>
      </w:r>
    </w:p>
    <w:p w14:paraId="65EA6C7A"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Bindschedler, S., Cailleau, G., &amp; Verrecchia, E. (2016). Role of fungi in the biomineralization of calcite. </w:t>
      </w:r>
      <w:r w:rsidRPr="00434EEE">
        <w:rPr>
          <w:rFonts w:ascii="Arial" w:eastAsia="Times New Roman" w:hAnsi="Arial" w:cs="Arial"/>
          <w:i/>
          <w:iCs/>
          <w:color w:val="000000"/>
          <w:sz w:val="20"/>
          <w:szCs w:val="20"/>
        </w:rPr>
        <w:t>Minerals</w:t>
      </w:r>
      <w:r w:rsidRPr="00434EEE">
        <w:rPr>
          <w:rFonts w:ascii="Arial" w:eastAsia="Times New Roman" w:hAnsi="Arial" w:cs="Arial"/>
          <w:color w:val="000000"/>
          <w:sz w:val="20"/>
          <w:szCs w:val="20"/>
        </w:rPr>
        <w:t>, 6(2), 41. https://doi.org/10.3390/min6020041</w:t>
      </w:r>
    </w:p>
    <w:p w14:paraId="65EA6C7B"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Choi, S.-G., Wang, K., Wen, Z., &amp; Chu, J. (2017). Mortar crack repair using microbial induced calcite precipitation method. </w:t>
      </w:r>
      <w:r w:rsidRPr="00434EEE">
        <w:rPr>
          <w:rFonts w:ascii="Arial" w:eastAsia="Times New Roman" w:hAnsi="Arial" w:cs="Arial"/>
          <w:i/>
          <w:iCs/>
          <w:color w:val="000000"/>
          <w:sz w:val="20"/>
          <w:szCs w:val="20"/>
        </w:rPr>
        <w:t>Cement and Concrete Composites</w:t>
      </w:r>
      <w:r w:rsidRPr="00434EEE">
        <w:rPr>
          <w:rFonts w:ascii="Arial" w:eastAsia="Times New Roman" w:hAnsi="Arial" w:cs="Arial"/>
          <w:color w:val="000000"/>
          <w:sz w:val="20"/>
          <w:szCs w:val="20"/>
        </w:rPr>
        <w:t>, 83, 209–221. https://doi.org/10.1016/j.cemconcomp.2017.07.013</w:t>
      </w:r>
    </w:p>
    <w:p w14:paraId="65EA6C7C"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lastRenderedPageBreak/>
        <w:t xml:space="preserve">Fang, C., Kumari, D., Zhu, X., &amp; Achal, V. (2018). Role of fungal-mediated mineralization in biocementation of sand and its improved compressive strength. </w:t>
      </w:r>
      <w:r w:rsidRPr="00434EEE">
        <w:rPr>
          <w:rFonts w:ascii="Arial" w:eastAsia="Times New Roman" w:hAnsi="Arial" w:cs="Arial"/>
          <w:i/>
          <w:iCs/>
          <w:color w:val="000000"/>
          <w:sz w:val="20"/>
          <w:szCs w:val="20"/>
        </w:rPr>
        <w:t>International Biodeterioration &amp; Biodegradation</w:t>
      </w:r>
      <w:r w:rsidRPr="00434EEE">
        <w:rPr>
          <w:rFonts w:ascii="Arial" w:eastAsia="Times New Roman" w:hAnsi="Arial" w:cs="Arial"/>
          <w:color w:val="000000"/>
          <w:sz w:val="20"/>
          <w:szCs w:val="20"/>
        </w:rPr>
        <w:t>, 133, 216–220. https://doi.org/10.1016/j.ibiod.2018.07.013</w:t>
      </w:r>
    </w:p>
    <w:p w14:paraId="65EA6C7D"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Gadd, G. M. (2007). Geomycology: biogeochemical transformations of rocks, minerals, metals and radionuclides by fungi, bioweathering and bioremediation. </w:t>
      </w:r>
      <w:r w:rsidRPr="00434EEE">
        <w:rPr>
          <w:rFonts w:ascii="Arial" w:eastAsia="Times New Roman" w:hAnsi="Arial" w:cs="Arial"/>
          <w:i/>
          <w:iCs/>
          <w:color w:val="000000"/>
          <w:sz w:val="20"/>
          <w:szCs w:val="20"/>
        </w:rPr>
        <w:t>Mycological Research</w:t>
      </w:r>
      <w:r w:rsidRPr="00434EEE">
        <w:rPr>
          <w:rFonts w:ascii="Arial" w:eastAsia="Times New Roman" w:hAnsi="Arial" w:cs="Arial"/>
          <w:color w:val="000000"/>
          <w:sz w:val="20"/>
          <w:szCs w:val="20"/>
        </w:rPr>
        <w:t>, 111(1), 3–49. https://doi.org/10.1016/j.mycres.2006.12.001</w:t>
      </w:r>
    </w:p>
    <w:p w14:paraId="65EA6C7E"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Guan, Y., Yang, Z., &amp; Liu, S. (2012). An improved Nessler’s reagent method for ammonia determination in wastewater. </w:t>
      </w:r>
      <w:r w:rsidRPr="00434EEE">
        <w:rPr>
          <w:rFonts w:ascii="Arial" w:eastAsia="Times New Roman" w:hAnsi="Arial" w:cs="Arial"/>
          <w:i/>
          <w:iCs/>
          <w:color w:val="000000"/>
          <w:sz w:val="20"/>
          <w:szCs w:val="20"/>
        </w:rPr>
        <w:t>Journal of Environmental Sciences</w:t>
      </w:r>
      <w:r w:rsidRPr="00434EEE">
        <w:rPr>
          <w:rFonts w:ascii="Arial" w:eastAsia="Times New Roman" w:hAnsi="Arial" w:cs="Arial"/>
          <w:color w:val="000000"/>
          <w:sz w:val="20"/>
          <w:szCs w:val="20"/>
        </w:rPr>
        <w:t>, 24(9), 1554–1559. https://doi.org/10.1016/S1001-0742(11)60976-4</w:t>
      </w:r>
    </w:p>
    <w:p w14:paraId="65EA6C7F"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Guggiari, M., Bloque, R., Aragno, M., Verrecchia, E., Job, D., &amp; Junier, P. (2011). Experimental calcium-oxalate crystal production and dissolution by selected wood-rot fungi. </w:t>
      </w:r>
      <w:r w:rsidRPr="00434EEE">
        <w:rPr>
          <w:rFonts w:ascii="Arial" w:eastAsia="Times New Roman" w:hAnsi="Arial" w:cs="Arial"/>
          <w:i/>
          <w:iCs/>
          <w:color w:val="000000"/>
          <w:sz w:val="20"/>
          <w:szCs w:val="20"/>
        </w:rPr>
        <w:t>International Biodeterioration &amp; Biodegradation</w:t>
      </w:r>
      <w:r w:rsidRPr="00434EEE">
        <w:rPr>
          <w:rFonts w:ascii="Arial" w:eastAsia="Times New Roman" w:hAnsi="Arial" w:cs="Arial"/>
          <w:color w:val="000000"/>
          <w:sz w:val="20"/>
          <w:szCs w:val="20"/>
        </w:rPr>
        <w:t>, 65(6), 803–809. https://doi.org/10.1016/j.ibiod.2011.02.012</w:t>
      </w:r>
    </w:p>
    <w:p w14:paraId="65EA6C80"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Hou, W., Lian, B., &amp; Zhang, X. (2011). CO₂ mineralization induced by fungal nitrate assimilation. </w:t>
      </w:r>
      <w:r w:rsidRPr="00434EEE">
        <w:rPr>
          <w:rFonts w:ascii="Arial" w:eastAsia="Times New Roman" w:hAnsi="Arial" w:cs="Arial"/>
          <w:i/>
          <w:iCs/>
          <w:color w:val="000000"/>
          <w:sz w:val="20"/>
          <w:szCs w:val="20"/>
        </w:rPr>
        <w:t>Bioresource Technology</w:t>
      </w:r>
      <w:r w:rsidRPr="00434EEE">
        <w:rPr>
          <w:rFonts w:ascii="Arial" w:eastAsia="Times New Roman" w:hAnsi="Arial" w:cs="Arial"/>
          <w:color w:val="000000"/>
          <w:sz w:val="20"/>
          <w:szCs w:val="20"/>
        </w:rPr>
        <w:t>, 102(2), 1562–1566. https://doi.org/10.1016/j.biortech.2010.08.080</w:t>
      </w:r>
    </w:p>
    <w:p w14:paraId="65EA6C81"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Huang, H., Ye, G., &amp; Damidot, D. (2017). Effect of self-healing on the durability of concrete–a review.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167, 154–162. https://doi.org/10.1016/j.conbuildmat.2018.01.124</w:t>
      </w:r>
    </w:p>
    <w:p w14:paraId="65EA6C82"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Jonkers, H. M., Thijssen, A., Muyzer, G., Copuroglu, O., &amp; Schlangen, E. (2010). Application of bacteria as self-healing agent for the development of sustainable concrete. </w:t>
      </w:r>
      <w:r w:rsidRPr="00434EEE">
        <w:rPr>
          <w:rFonts w:ascii="Arial" w:eastAsia="Times New Roman" w:hAnsi="Arial" w:cs="Arial"/>
          <w:i/>
          <w:iCs/>
          <w:color w:val="000000"/>
          <w:sz w:val="20"/>
          <w:szCs w:val="20"/>
        </w:rPr>
        <w:t>Ecological Engineering</w:t>
      </w:r>
      <w:r w:rsidRPr="00434EEE">
        <w:rPr>
          <w:rFonts w:ascii="Arial" w:eastAsia="Times New Roman" w:hAnsi="Arial" w:cs="Arial"/>
          <w:color w:val="000000"/>
          <w:sz w:val="20"/>
          <w:szCs w:val="20"/>
        </w:rPr>
        <w:t>, 36(2), 230–235. https://doi.org/10.1016/j.ecoleng.2008.12.036</w:t>
      </w:r>
    </w:p>
    <w:p w14:paraId="65EA6C83"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Li, M., Qian, C. X., &amp; Yang, Y. (2015). A study on the strength development of microbial mortar using mineral-producing bacteria.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93, 939–947. https://doi.org/10.1016/j.conbuildmat.2015.05.069</w:t>
      </w:r>
    </w:p>
    <w:p w14:paraId="65EA6C84"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Li, Q., Csetenyi, L., &amp; Gadd, G. M. (2014). Biomineralization of metal carbonates by Neurospora crassa. </w:t>
      </w:r>
      <w:r w:rsidRPr="00434EEE">
        <w:rPr>
          <w:rFonts w:ascii="Arial" w:eastAsia="Times New Roman" w:hAnsi="Arial" w:cs="Arial"/>
          <w:i/>
          <w:iCs/>
          <w:color w:val="000000"/>
          <w:sz w:val="20"/>
          <w:szCs w:val="20"/>
        </w:rPr>
        <w:t>Environmental Science &amp; Technology</w:t>
      </w:r>
      <w:r w:rsidRPr="00434EEE">
        <w:rPr>
          <w:rFonts w:ascii="Arial" w:eastAsia="Times New Roman" w:hAnsi="Arial" w:cs="Arial"/>
          <w:color w:val="000000"/>
          <w:sz w:val="20"/>
          <w:szCs w:val="20"/>
        </w:rPr>
        <w:t>, 48(24), 14409–14416. https://doi.org/10.1021/es5042546</w:t>
      </w:r>
    </w:p>
    <w:p w14:paraId="65EA6C85"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Luo, M., Qian, C. X., &amp; Li, R. Y. (2015). Factors affecting crack repairing capacity of bacteria-based self-healing concrete.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87, 1–7. https://doi.org/10.1016/j.conbuildmat.2015.03.117</w:t>
      </w:r>
    </w:p>
    <w:p w14:paraId="65EA6C86"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Luo, J., Chen, X., Crump, J., Zhou, H., Davies, D. G., Zhou, G., Zhang, N., &amp; Jin, C. (2018). Interactions of fungi with concrete: Significant importance for bio-based self-healing concrete.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164, 275–285. https://doi.org/10.1016/j.conbuildmat.2017.12.233</w:t>
      </w:r>
    </w:p>
    <w:p w14:paraId="65EA6C87"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Menon, R. R., Luo, J., Chen, X., Zhou, H., Liu, Z., Zhou, G., Zhang, N., &amp; Jin, C. (2019). Screening of fungi for potential application of self-healing concrete. </w:t>
      </w:r>
      <w:r w:rsidRPr="00434EEE">
        <w:rPr>
          <w:rFonts w:ascii="Arial" w:eastAsia="Times New Roman" w:hAnsi="Arial" w:cs="Arial"/>
          <w:i/>
          <w:iCs/>
          <w:color w:val="000000"/>
          <w:sz w:val="20"/>
          <w:szCs w:val="20"/>
        </w:rPr>
        <w:t>Scientific Reports</w:t>
      </w:r>
      <w:r w:rsidRPr="00434EEE">
        <w:rPr>
          <w:rFonts w:ascii="Arial" w:eastAsia="Times New Roman" w:hAnsi="Arial" w:cs="Arial"/>
          <w:color w:val="000000"/>
          <w:sz w:val="20"/>
          <w:szCs w:val="20"/>
        </w:rPr>
        <w:t>, 9(1), 2075. https://doi.org/10.1038/s41598-019-39156-8</w:t>
      </w:r>
    </w:p>
    <w:p w14:paraId="65EA6C88"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Motaung, T. E., Ayob, A. H., &amp; Mutamiswa, R. (2021). Biological production of organic acids by Aspergillus species and their applications in the construction industry. </w:t>
      </w:r>
      <w:r w:rsidRPr="00434EEE">
        <w:rPr>
          <w:rFonts w:ascii="Arial" w:eastAsia="Times New Roman" w:hAnsi="Arial" w:cs="Arial"/>
          <w:i/>
          <w:iCs/>
          <w:color w:val="000000"/>
          <w:sz w:val="20"/>
          <w:szCs w:val="20"/>
        </w:rPr>
        <w:t>Biotechnology Reports</w:t>
      </w:r>
      <w:r w:rsidRPr="00434EEE">
        <w:rPr>
          <w:rFonts w:ascii="Arial" w:eastAsia="Times New Roman" w:hAnsi="Arial" w:cs="Arial"/>
          <w:color w:val="000000"/>
          <w:sz w:val="20"/>
          <w:szCs w:val="20"/>
        </w:rPr>
        <w:t>, 29, e00594. https://doi.org/10.1016/j.btre.2020.e00594</w:t>
      </w:r>
    </w:p>
    <w:p w14:paraId="65EA6C89"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Riding, R. (2000). Microbial carbonates: the geological record of calcified bacterial–algal mats and biofilms. </w:t>
      </w:r>
      <w:r w:rsidRPr="00434EEE">
        <w:rPr>
          <w:rFonts w:ascii="Arial" w:eastAsia="Times New Roman" w:hAnsi="Arial" w:cs="Arial"/>
          <w:i/>
          <w:iCs/>
          <w:color w:val="000000"/>
          <w:sz w:val="20"/>
          <w:szCs w:val="20"/>
        </w:rPr>
        <w:t>Sedimentology</w:t>
      </w:r>
      <w:r w:rsidRPr="00434EEE">
        <w:rPr>
          <w:rFonts w:ascii="Arial" w:eastAsia="Times New Roman" w:hAnsi="Arial" w:cs="Arial"/>
          <w:color w:val="000000"/>
          <w:sz w:val="20"/>
          <w:szCs w:val="20"/>
        </w:rPr>
        <w:t>, 47(S1), 179–214. https://doi.org/10.1046/j.1365-3091.2000.00003.x</w:t>
      </w:r>
    </w:p>
    <w:p w14:paraId="65EA6C8A"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Seifan, M., Samani, A. K., &amp; Berenjian, A. (2016). Bioconcrete: next generation of self-healing concrete. </w:t>
      </w:r>
      <w:r w:rsidRPr="00434EEE">
        <w:rPr>
          <w:rFonts w:ascii="Arial" w:eastAsia="Times New Roman" w:hAnsi="Arial" w:cs="Arial"/>
          <w:i/>
          <w:iCs/>
          <w:color w:val="000000"/>
          <w:sz w:val="20"/>
          <w:szCs w:val="20"/>
        </w:rPr>
        <w:t>Applied Microbiology and Biotechnology</w:t>
      </w:r>
      <w:r w:rsidRPr="00434EEE">
        <w:rPr>
          <w:rFonts w:ascii="Arial" w:eastAsia="Times New Roman" w:hAnsi="Arial" w:cs="Arial"/>
          <w:color w:val="000000"/>
          <w:sz w:val="20"/>
          <w:szCs w:val="20"/>
        </w:rPr>
        <w:t>, 100(6), 2591–2602. https://doi.org/10.1007/s00253-016-7316-z</w:t>
      </w:r>
    </w:p>
    <w:p w14:paraId="65EA6C8B"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Seifan, M., &amp; Berenjian, A. (2019). Biotechnological production of sustainable construction materials: Opportunities and challenges. </w:t>
      </w:r>
      <w:r w:rsidRPr="00434EEE">
        <w:rPr>
          <w:rFonts w:ascii="Arial" w:eastAsia="Times New Roman" w:hAnsi="Arial" w:cs="Arial"/>
          <w:i/>
          <w:iCs/>
          <w:color w:val="000000"/>
          <w:sz w:val="20"/>
          <w:szCs w:val="20"/>
        </w:rPr>
        <w:t>Biotechnology Advances</w:t>
      </w:r>
      <w:r w:rsidRPr="00434EEE">
        <w:rPr>
          <w:rFonts w:ascii="Arial" w:eastAsia="Times New Roman" w:hAnsi="Arial" w:cs="Arial"/>
          <w:color w:val="000000"/>
          <w:sz w:val="20"/>
          <w:szCs w:val="20"/>
        </w:rPr>
        <w:t>, 37(8), 107447. https://doi.org/10.1016/j.biotechadv.2019.107447</w:t>
      </w:r>
    </w:p>
    <w:p w14:paraId="65EA6C8C"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Van Tittelboom, K., De Belie, N., De Muynck, W., &amp; Verstraete, W. (2010). Use of bacteria to repair cracks in concrete. </w:t>
      </w:r>
      <w:r w:rsidRPr="00434EEE">
        <w:rPr>
          <w:rFonts w:ascii="Arial" w:eastAsia="Times New Roman" w:hAnsi="Arial" w:cs="Arial"/>
          <w:i/>
          <w:iCs/>
          <w:color w:val="000000"/>
          <w:sz w:val="20"/>
          <w:szCs w:val="20"/>
        </w:rPr>
        <w:t>Cement and Concrete Research</w:t>
      </w:r>
      <w:r w:rsidRPr="00434EEE">
        <w:rPr>
          <w:rFonts w:ascii="Arial" w:eastAsia="Times New Roman" w:hAnsi="Arial" w:cs="Arial"/>
          <w:color w:val="000000"/>
          <w:sz w:val="20"/>
          <w:szCs w:val="20"/>
        </w:rPr>
        <w:t>, 40(1), 157–166. https://doi.org/10.1016/j.cemconres.2009.08.025</w:t>
      </w:r>
    </w:p>
    <w:p w14:paraId="65EA6C8D"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Vijay, K., Murmu, M., &amp; Deo, S. V. (2017). Bacteria based self healing concrete – A review.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152, 1008–1014. https://doi.org/10.1016/j.conbuildmat.2017.07.040</w:t>
      </w:r>
    </w:p>
    <w:p w14:paraId="65EA6C8E"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Wang, J. Y., Soens, H., Verstraete, W., &amp; De Belie, N. (2014). Self-healing concrete by use of microencapsulated bacterial spores. </w:t>
      </w:r>
      <w:r w:rsidRPr="00434EEE">
        <w:rPr>
          <w:rFonts w:ascii="Arial" w:eastAsia="Times New Roman" w:hAnsi="Arial" w:cs="Arial"/>
          <w:i/>
          <w:iCs/>
          <w:color w:val="000000"/>
          <w:sz w:val="20"/>
          <w:szCs w:val="20"/>
        </w:rPr>
        <w:t>Cement and Concrete Research</w:t>
      </w:r>
      <w:r w:rsidRPr="00434EEE">
        <w:rPr>
          <w:rFonts w:ascii="Arial" w:eastAsia="Times New Roman" w:hAnsi="Arial" w:cs="Arial"/>
          <w:color w:val="000000"/>
          <w:sz w:val="20"/>
          <w:szCs w:val="20"/>
        </w:rPr>
        <w:t>, 56, 139–152. https://doi.org/10.1016/j.cemconres.2013.11.009</w:t>
      </w:r>
    </w:p>
    <w:p w14:paraId="65EA6C8F"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Wang, J., Snoeck, D., Van Vlierberghe, S., &amp; De Belie, N. (2013). Application of P-wave velocity to monitor the self-healing behaviour of cementitious materials containing superabsorbent polymers. </w:t>
      </w:r>
      <w:r w:rsidRPr="00434EEE">
        <w:rPr>
          <w:rFonts w:ascii="Arial" w:eastAsia="Times New Roman" w:hAnsi="Arial" w:cs="Arial"/>
          <w:i/>
          <w:iCs/>
          <w:color w:val="000000"/>
          <w:sz w:val="20"/>
          <w:szCs w:val="20"/>
        </w:rPr>
        <w:lastRenderedPageBreak/>
        <w:t>Cement and Concrete Composites</w:t>
      </w:r>
      <w:r w:rsidRPr="00434EEE">
        <w:rPr>
          <w:rFonts w:ascii="Arial" w:eastAsia="Times New Roman" w:hAnsi="Arial" w:cs="Arial"/>
          <w:color w:val="000000"/>
          <w:sz w:val="20"/>
          <w:szCs w:val="20"/>
        </w:rPr>
        <w:t>, 34(9), 1047–1057. https://doi.org/10.1016/j.cemconcomp.2013.06.002</w:t>
      </w:r>
    </w:p>
    <w:p w14:paraId="65EA6C90"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Wiktor, V., &amp; Jonkers, H. M. (2011). Quantification of crack-healing in novel bacteria-based self-healing concrete. </w:t>
      </w:r>
      <w:r w:rsidRPr="00434EEE">
        <w:rPr>
          <w:rFonts w:ascii="Arial" w:eastAsia="Times New Roman" w:hAnsi="Arial" w:cs="Arial"/>
          <w:i/>
          <w:iCs/>
          <w:color w:val="000000"/>
          <w:sz w:val="20"/>
          <w:szCs w:val="20"/>
        </w:rPr>
        <w:t>Cement and Concrete Composites</w:t>
      </w:r>
      <w:r w:rsidRPr="00434EEE">
        <w:rPr>
          <w:rFonts w:ascii="Arial" w:eastAsia="Times New Roman" w:hAnsi="Arial" w:cs="Arial"/>
          <w:color w:val="000000"/>
          <w:sz w:val="20"/>
          <w:szCs w:val="20"/>
        </w:rPr>
        <w:t>, 33(7), 763–770. https://doi.org/10.1016/j.cemconcomp.2011.03.012</w:t>
      </w:r>
    </w:p>
    <w:p w14:paraId="65EA6C91"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Xue, C., Li, W., Castel, A., Wang, K., &amp; Sheng, D. (2020a). Effect of incompatibility between healing agent and cement matrix on self-healing performance of intelligent cementitious composite. </w:t>
      </w:r>
      <w:r w:rsidRPr="00434EEE">
        <w:rPr>
          <w:rFonts w:ascii="Arial" w:eastAsia="Times New Roman" w:hAnsi="Arial" w:cs="Arial"/>
          <w:i/>
          <w:iCs/>
          <w:color w:val="000000"/>
          <w:sz w:val="20"/>
          <w:szCs w:val="20"/>
        </w:rPr>
        <w:t>Smart Materials and Structures</w:t>
      </w:r>
      <w:r w:rsidRPr="00434EEE">
        <w:rPr>
          <w:rFonts w:ascii="Arial" w:eastAsia="Times New Roman" w:hAnsi="Arial" w:cs="Arial"/>
          <w:color w:val="000000"/>
          <w:sz w:val="20"/>
          <w:szCs w:val="20"/>
        </w:rPr>
        <w:t>, 29(11), 115020. https://doi.org/10.1088/1361-665X/aba9ac</w:t>
      </w:r>
    </w:p>
    <w:p w14:paraId="65EA6C92"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Xue, C., Li, W., F. Qu, Sun, Z., &amp; Shah, S. P. (2020b). Self-healing efficiency and crack closure of smart cementitious composite with crystalline admixture and structural polyurethane.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260, 119955. https://doi.org/10.1016/j.conbuildmat.2020.119955</w:t>
      </w:r>
    </w:p>
    <w:p w14:paraId="65EA6C93" w14:textId="77777777" w:rsidR="00075928" w:rsidRPr="00434EEE" w:rsidRDefault="009932F3">
      <w:pPr>
        <w:ind w:left="720" w:hanging="720"/>
        <w:rPr>
          <w:rFonts w:ascii="Arial" w:eastAsia="Times New Roman" w:hAnsi="Arial" w:cs="Arial"/>
          <w:color w:val="000000"/>
          <w:sz w:val="20"/>
          <w:szCs w:val="20"/>
        </w:rPr>
      </w:pPr>
      <w:r w:rsidRPr="00434EEE">
        <w:rPr>
          <w:rFonts w:ascii="Arial" w:eastAsia="Times New Roman" w:hAnsi="Arial" w:cs="Arial"/>
          <w:color w:val="000000"/>
          <w:sz w:val="20"/>
          <w:szCs w:val="20"/>
        </w:rPr>
        <w:t xml:space="preserve">Zhao, H., Liu, R., Li, Y., Zhang, X., &amp; Guo, Z. (2022). Urease-producing fungal strains and their effect on calcium carbonate precipitation and compressive strength in mortar. </w:t>
      </w:r>
      <w:r w:rsidRPr="00434EEE">
        <w:rPr>
          <w:rFonts w:ascii="Arial" w:eastAsia="Times New Roman" w:hAnsi="Arial" w:cs="Arial"/>
          <w:i/>
          <w:iCs/>
          <w:color w:val="000000"/>
          <w:sz w:val="20"/>
          <w:szCs w:val="20"/>
        </w:rPr>
        <w:t>Construction and Building Materials</w:t>
      </w:r>
      <w:r w:rsidRPr="00434EEE">
        <w:rPr>
          <w:rFonts w:ascii="Arial" w:eastAsia="Times New Roman" w:hAnsi="Arial" w:cs="Arial"/>
          <w:color w:val="000000"/>
          <w:sz w:val="20"/>
          <w:szCs w:val="20"/>
        </w:rPr>
        <w:t>, 326, 126857. https://doi.org/10.1016/j.conbuildmat.2022.126857</w:t>
      </w:r>
    </w:p>
    <w:p w14:paraId="65EA6C9A" w14:textId="77777777" w:rsidR="00075928" w:rsidRPr="00434EEE" w:rsidRDefault="00075928">
      <w:pPr>
        <w:rPr>
          <w:rFonts w:ascii="Arial" w:eastAsia="Times New Roman" w:hAnsi="Arial" w:cs="Arial"/>
          <w:kern w:val="0"/>
          <w:sz w:val="15"/>
          <w:szCs w:val="15"/>
          <w14:ligatures w14:val="none"/>
        </w:rPr>
      </w:pPr>
    </w:p>
    <w:p w14:paraId="65EA6C9B" w14:textId="77777777" w:rsidR="00075928" w:rsidRPr="00434EEE" w:rsidRDefault="00075928">
      <w:pPr>
        <w:rPr>
          <w:rFonts w:ascii="Arial" w:eastAsia="Times New Roman" w:hAnsi="Arial" w:cs="Arial"/>
          <w:kern w:val="0"/>
          <w:sz w:val="15"/>
          <w:szCs w:val="15"/>
          <w14:ligatures w14:val="none"/>
        </w:rPr>
      </w:pPr>
    </w:p>
    <w:p w14:paraId="65EA6C9C" w14:textId="77777777" w:rsidR="00075928" w:rsidRPr="00434EEE" w:rsidRDefault="00075928" w:rsidP="006A1E41">
      <w:pPr>
        <w:pStyle w:val="Heading4"/>
        <w:rPr>
          <w:sz w:val="15"/>
          <w:szCs w:val="15"/>
        </w:rPr>
      </w:pPr>
    </w:p>
    <w:sectPr w:rsidR="00075928" w:rsidRPr="00434EEE">
      <w:footerReference w:type="even" r:id="rId48"/>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32C6" w14:textId="77777777" w:rsidR="006D67E3" w:rsidRDefault="006D67E3">
      <w:r>
        <w:separator/>
      </w:r>
    </w:p>
  </w:endnote>
  <w:endnote w:type="continuationSeparator" w:id="0">
    <w:p w14:paraId="77E57B4E" w14:textId="77777777" w:rsidR="006D67E3" w:rsidRDefault="006D67E3">
      <w:r>
        <w:continuationSeparator/>
      </w:r>
    </w:p>
  </w:endnote>
  <w:endnote w:type="continuationNotice" w:id="1">
    <w:p w14:paraId="7232F77F" w14:textId="77777777" w:rsidR="006D67E3" w:rsidRDefault="006D6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TSong">
    <w:panose1 w:val="02010600040101010101"/>
    <w:charset w:val="86"/>
    <w:family w:val="auto"/>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6CEF" w14:textId="77777777" w:rsidR="00075928" w:rsidRDefault="009932F3">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5EA6CF0" w14:textId="77777777" w:rsidR="00075928" w:rsidRDefault="000759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sdtPr>
    <w:sdtContent>
      <w:p w14:paraId="65EA6CF1" w14:textId="77777777" w:rsidR="00075928" w:rsidRDefault="009932F3">
        <w:pPr>
          <w:pStyle w:val="Footer"/>
          <w:framePr w:wrap="auto"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5EA6CF2" w14:textId="77777777" w:rsidR="00075928" w:rsidRDefault="009932F3">
    <w:pPr>
      <w:pStyle w:val="Footer"/>
      <w:ind w:right="360"/>
      <w:jc w:val="right"/>
    </w:pPr>
    <w:r>
      <w:t>TRANS-IPIC Final Report – Page#</w:t>
    </w:r>
  </w:p>
  <w:p w14:paraId="65EA6CF3" w14:textId="77777777" w:rsidR="00075928" w:rsidRDefault="0007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128EC" w14:textId="77777777" w:rsidR="006D67E3" w:rsidRDefault="006D67E3">
      <w:r>
        <w:separator/>
      </w:r>
    </w:p>
  </w:footnote>
  <w:footnote w:type="continuationSeparator" w:id="0">
    <w:p w14:paraId="2821828B" w14:textId="77777777" w:rsidR="006D67E3" w:rsidRDefault="006D67E3">
      <w:r>
        <w:continuationSeparator/>
      </w:r>
    </w:p>
  </w:footnote>
  <w:footnote w:type="continuationNotice" w:id="1">
    <w:p w14:paraId="2FC42756" w14:textId="77777777" w:rsidR="006D67E3" w:rsidRDefault="006D67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77A23"/>
    <w:multiLevelType w:val="multilevel"/>
    <w:tmpl w:val="A936F102"/>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2C7D00"/>
    <w:multiLevelType w:val="multilevel"/>
    <w:tmpl w:val="662C7D0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399716776">
    <w:abstractNumId w:val="1"/>
  </w:num>
  <w:num w:numId="2" w16cid:durableId="43281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noPunctuationKerning/>
  <w:characterSpacingControl w:val="doNotCompres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MyMWUxODUwZGVjNDIzOTliMzczMDM3NDcxNjA5Y2MifQ=="/>
  </w:docVars>
  <w:rsids>
    <w:rsidRoot w:val="000E14DC"/>
    <w:rsid w:val="00003135"/>
    <w:rsid w:val="00010B74"/>
    <w:rsid w:val="00013613"/>
    <w:rsid w:val="00015F77"/>
    <w:rsid w:val="00016F9C"/>
    <w:rsid w:val="00017AFF"/>
    <w:rsid w:val="0002288B"/>
    <w:rsid w:val="00023EA2"/>
    <w:rsid w:val="00025483"/>
    <w:rsid w:val="00025BF4"/>
    <w:rsid w:val="00036349"/>
    <w:rsid w:val="00036E59"/>
    <w:rsid w:val="00043BA1"/>
    <w:rsid w:val="00050199"/>
    <w:rsid w:val="00052CCA"/>
    <w:rsid w:val="00054AC0"/>
    <w:rsid w:val="00071249"/>
    <w:rsid w:val="00075928"/>
    <w:rsid w:val="00076C34"/>
    <w:rsid w:val="00077CBB"/>
    <w:rsid w:val="00084B45"/>
    <w:rsid w:val="00087E93"/>
    <w:rsid w:val="00095E98"/>
    <w:rsid w:val="00096C5D"/>
    <w:rsid w:val="00097290"/>
    <w:rsid w:val="000A11AA"/>
    <w:rsid w:val="000A327C"/>
    <w:rsid w:val="000A344B"/>
    <w:rsid w:val="000A7CC0"/>
    <w:rsid w:val="000C0FD2"/>
    <w:rsid w:val="000C2B36"/>
    <w:rsid w:val="000C6AD3"/>
    <w:rsid w:val="000D5C7B"/>
    <w:rsid w:val="000E14DC"/>
    <w:rsid w:val="000E3E21"/>
    <w:rsid w:val="000E4F3E"/>
    <w:rsid w:val="000E7DF5"/>
    <w:rsid w:val="000E7EAC"/>
    <w:rsid w:val="000F30D4"/>
    <w:rsid w:val="00107E64"/>
    <w:rsid w:val="001121B5"/>
    <w:rsid w:val="00112355"/>
    <w:rsid w:val="00113574"/>
    <w:rsid w:val="00114F20"/>
    <w:rsid w:val="001166C3"/>
    <w:rsid w:val="00122BDE"/>
    <w:rsid w:val="00122F0B"/>
    <w:rsid w:val="00131931"/>
    <w:rsid w:val="00131BE9"/>
    <w:rsid w:val="00137DE8"/>
    <w:rsid w:val="001424B7"/>
    <w:rsid w:val="00147D39"/>
    <w:rsid w:val="001520C0"/>
    <w:rsid w:val="00152B92"/>
    <w:rsid w:val="00153386"/>
    <w:rsid w:val="0015474A"/>
    <w:rsid w:val="0015714B"/>
    <w:rsid w:val="00165126"/>
    <w:rsid w:val="0016794C"/>
    <w:rsid w:val="00173B39"/>
    <w:rsid w:val="0017546E"/>
    <w:rsid w:val="00181014"/>
    <w:rsid w:val="001816EF"/>
    <w:rsid w:val="00190904"/>
    <w:rsid w:val="00191A93"/>
    <w:rsid w:val="0019555B"/>
    <w:rsid w:val="001A0464"/>
    <w:rsid w:val="001A4FF5"/>
    <w:rsid w:val="001A6554"/>
    <w:rsid w:val="001B1F43"/>
    <w:rsid w:val="001B2C36"/>
    <w:rsid w:val="001B5772"/>
    <w:rsid w:val="001B7F33"/>
    <w:rsid w:val="001C073E"/>
    <w:rsid w:val="001C76A5"/>
    <w:rsid w:val="001D1990"/>
    <w:rsid w:val="001D1B5E"/>
    <w:rsid w:val="001D21E6"/>
    <w:rsid w:val="001D25DF"/>
    <w:rsid w:val="001E1C15"/>
    <w:rsid w:val="001F0455"/>
    <w:rsid w:val="001F2338"/>
    <w:rsid w:val="001F37C8"/>
    <w:rsid w:val="001F3903"/>
    <w:rsid w:val="001F4C28"/>
    <w:rsid w:val="00200644"/>
    <w:rsid w:val="0020159E"/>
    <w:rsid w:val="00202626"/>
    <w:rsid w:val="00214BC8"/>
    <w:rsid w:val="00222705"/>
    <w:rsid w:val="0022366A"/>
    <w:rsid w:val="00244ED3"/>
    <w:rsid w:val="002473F0"/>
    <w:rsid w:val="00250B7E"/>
    <w:rsid w:val="00252DA7"/>
    <w:rsid w:val="00254BEC"/>
    <w:rsid w:val="00256DE0"/>
    <w:rsid w:val="002619B3"/>
    <w:rsid w:val="00262C02"/>
    <w:rsid w:val="00264A72"/>
    <w:rsid w:val="002753A5"/>
    <w:rsid w:val="00282EDC"/>
    <w:rsid w:val="0029469B"/>
    <w:rsid w:val="002A73E3"/>
    <w:rsid w:val="002B37A8"/>
    <w:rsid w:val="002B707B"/>
    <w:rsid w:val="002C0FE1"/>
    <w:rsid w:val="002D273B"/>
    <w:rsid w:val="002E3A70"/>
    <w:rsid w:val="002E43DD"/>
    <w:rsid w:val="002F1291"/>
    <w:rsid w:val="002F5180"/>
    <w:rsid w:val="0030080B"/>
    <w:rsid w:val="003009D9"/>
    <w:rsid w:val="00302144"/>
    <w:rsid w:val="003065C3"/>
    <w:rsid w:val="003130BE"/>
    <w:rsid w:val="00322B5F"/>
    <w:rsid w:val="00332C83"/>
    <w:rsid w:val="003458CE"/>
    <w:rsid w:val="00347DBB"/>
    <w:rsid w:val="0035290F"/>
    <w:rsid w:val="003537BD"/>
    <w:rsid w:val="003568A9"/>
    <w:rsid w:val="0035775B"/>
    <w:rsid w:val="003618C9"/>
    <w:rsid w:val="003618FE"/>
    <w:rsid w:val="00376639"/>
    <w:rsid w:val="00383688"/>
    <w:rsid w:val="00386D2F"/>
    <w:rsid w:val="00391B55"/>
    <w:rsid w:val="00392BCA"/>
    <w:rsid w:val="00396EB9"/>
    <w:rsid w:val="003A3C2B"/>
    <w:rsid w:val="003B1D94"/>
    <w:rsid w:val="003B5F30"/>
    <w:rsid w:val="003C4C51"/>
    <w:rsid w:val="003C768A"/>
    <w:rsid w:val="003D1AC6"/>
    <w:rsid w:val="003D3F84"/>
    <w:rsid w:val="003D4524"/>
    <w:rsid w:val="003D51CD"/>
    <w:rsid w:val="003D7BD9"/>
    <w:rsid w:val="003E19CE"/>
    <w:rsid w:val="003E36A1"/>
    <w:rsid w:val="003E4367"/>
    <w:rsid w:val="004179B7"/>
    <w:rsid w:val="00424CB6"/>
    <w:rsid w:val="00426176"/>
    <w:rsid w:val="004272AC"/>
    <w:rsid w:val="00427601"/>
    <w:rsid w:val="004312C2"/>
    <w:rsid w:val="00434A48"/>
    <w:rsid w:val="00434EEE"/>
    <w:rsid w:val="00447B26"/>
    <w:rsid w:val="00452099"/>
    <w:rsid w:val="0045462A"/>
    <w:rsid w:val="004552F8"/>
    <w:rsid w:val="00461465"/>
    <w:rsid w:val="00472FFE"/>
    <w:rsid w:val="00481190"/>
    <w:rsid w:val="0048442C"/>
    <w:rsid w:val="004A3C81"/>
    <w:rsid w:val="004B10CB"/>
    <w:rsid w:val="004B2D32"/>
    <w:rsid w:val="004B6C63"/>
    <w:rsid w:val="004B6F9E"/>
    <w:rsid w:val="004C4B67"/>
    <w:rsid w:val="004C7BDA"/>
    <w:rsid w:val="004D3623"/>
    <w:rsid w:val="004D5B08"/>
    <w:rsid w:val="004E3C96"/>
    <w:rsid w:val="004E3FD1"/>
    <w:rsid w:val="005019B7"/>
    <w:rsid w:val="00501B80"/>
    <w:rsid w:val="00502CD3"/>
    <w:rsid w:val="00505900"/>
    <w:rsid w:val="00511A9E"/>
    <w:rsid w:val="00513196"/>
    <w:rsid w:val="00513C2D"/>
    <w:rsid w:val="00513CF3"/>
    <w:rsid w:val="00514A78"/>
    <w:rsid w:val="00517657"/>
    <w:rsid w:val="005208E0"/>
    <w:rsid w:val="0052303B"/>
    <w:rsid w:val="00526CAA"/>
    <w:rsid w:val="0053069F"/>
    <w:rsid w:val="00554218"/>
    <w:rsid w:val="00555C6D"/>
    <w:rsid w:val="005572F3"/>
    <w:rsid w:val="0056121D"/>
    <w:rsid w:val="00566890"/>
    <w:rsid w:val="00575458"/>
    <w:rsid w:val="005813FE"/>
    <w:rsid w:val="00581CF9"/>
    <w:rsid w:val="00590444"/>
    <w:rsid w:val="00591F9C"/>
    <w:rsid w:val="005921C5"/>
    <w:rsid w:val="00595201"/>
    <w:rsid w:val="00596938"/>
    <w:rsid w:val="005A09D6"/>
    <w:rsid w:val="005C11DA"/>
    <w:rsid w:val="005C2AB8"/>
    <w:rsid w:val="005C4EA9"/>
    <w:rsid w:val="005F1849"/>
    <w:rsid w:val="005F4C07"/>
    <w:rsid w:val="005F53A4"/>
    <w:rsid w:val="006056C3"/>
    <w:rsid w:val="00606C41"/>
    <w:rsid w:val="006076EE"/>
    <w:rsid w:val="0061396C"/>
    <w:rsid w:val="00615A5E"/>
    <w:rsid w:val="00620117"/>
    <w:rsid w:val="00631F9E"/>
    <w:rsid w:val="00633092"/>
    <w:rsid w:val="00634813"/>
    <w:rsid w:val="006366A4"/>
    <w:rsid w:val="00636E9E"/>
    <w:rsid w:val="00641ADB"/>
    <w:rsid w:val="0065054C"/>
    <w:rsid w:val="006540FB"/>
    <w:rsid w:val="00657165"/>
    <w:rsid w:val="006605FC"/>
    <w:rsid w:val="006635B4"/>
    <w:rsid w:val="006635CC"/>
    <w:rsid w:val="00663A58"/>
    <w:rsid w:val="00664738"/>
    <w:rsid w:val="00665EC7"/>
    <w:rsid w:val="00667879"/>
    <w:rsid w:val="00683A7D"/>
    <w:rsid w:val="00691301"/>
    <w:rsid w:val="006A0E85"/>
    <w:rsid w:val="006A1E41"/>
    <w:rsid w:val="006B10CC"/>
    <w:rsid w:val="006B67C4"/>
    <w:rsid w:val="006C41A6"/>
    <w:rsid w:val="006C5FC5"/>
    <w:rsid w:val="006D2F68"/>
    <w:rsid w:val="006D3327"/>
    <w:rsid w:val="006D67E3"/>
    <w:rsid w:val="006E1CE5"/>
    <w:rsid w:val="006E34E1"/>
    <w:rsid w:val="006F330C"/>
    <w:rsid w:val="007006F7"/>
    <w:rsid w:val="0070373A"/>
    <w:rsid w:val="0070420C"/>
    <w:rsid w:val="007116DF"/>
    <w:rsid w:val="00713DDF"/>
    <w:rsid w:val="007219EC"/>
    <w:rsid w:val="00725C9B"/>
    <w:rsid w:val="0072728D"/>
    <w:rsid w:val="00730C0F"/>
    <w:rsid w:val="00730F68"/>
    <w:rsid w:val="007320E5"/>
    <w:rsid w:val="00735293"/>
    <w:rsid w:val="007375D6"/>
    <w:rsid w:val="007429E1"/>
    <w:rsid w:val="00742DB6"/>
    <w:rsid w:val="007430AA"/>
    <w:rsid w:val="007540DE"/>
    <w:rsid w:val="00763A45"/>
    <w:rsid w:val="00773C84"/>
    <w:rsid w:val="00776FFC"/>
    <w:rsid w:val="00777746"/>
    <w:rsid w:val="0078145E"/>
    <w:rsid w:val="0078399D"/>
    <w:rsid w:val="007847E6"/>
    <w:rsid w:val="007907DA"/>
    <w:rsid w:val="00793AA9"/>
    <w:rsid w:val="007940FA"/>
    <w:rsid w:val="00795202"/>
    <w:rsid w:val="007A0BE1"/>
    <w:rsid w:val="007A0BE2"/>
    <w:rsid w:val="007A18C6"/>
    <w:rsid w:val="007A619B"/>
    <w:rsid w:val="007A67BF"/>
    <w:rsid w:val="007A7D1B"/>
    <w:rsid w:val="007B1653"/>
    <w:rsid w:val="007B772F"/>
    <w:rsid w:val="007C05AC"/>
    <w:rsid w:val="007C6510"/>
    <w:rsid w:val="007C6E2D"/>
    <w:rsid w:val="007D0ED1"/>
    <w:rsid w:val="007D4664"/>
    <w:rsid w:val="007E00B4"/>
    <w:rsid w:val="007F292F"/>
    <w:rsid w:val="007F54F2"/>
    <w:rsid w:val="007F7D66"/>
    <w:rsid w:val="00805D87"/>
    <w:rsid w:val="00820E5E"/>
    <w:rsid w:val="008270F8"/>
    <w:rsid w:val="00830685"/>
    <w:rsid w:val="00831517"/>
    <w:rsid w:val="00831D2A"/>
    <w:rsid w:val="00833567"/>
    <w:rsid w:val="00833C8A"/>
    <w:rsid w:val="008377F2"/>
    <w:rsid w:val="00842973"/>
    <w:rsid w:val="00846B94"/>
    <w:rsid w:val="008473E7"/>
    <w:rsid w:val="0085391B"/>
    <w:rsid w:val="00854BD7"/>
    <w:rsid w:val="00861446"/>
    <w:rsid w:val="00870184"/>
    <w:rsid w:val="008734F3"/>
    <w:rsid w:val="00874FCA"/>
    <w:rsid w:val="008751F7"/>
    <w:rsid w:val="00875AD3"/>
    <w:rsid w:val="00875D74"/>
    <w:rsid w:val="00877F27"/>
    <w:rsid w:val="00883F45"/>
    <w:rsid w:val="00884160"/>
    <w:rsid w:val="00885BF2"/>
    <w:rsid w:val="00887751"/>
    <w:rsid w:val="00887B67"/>
    <w:rsid w:val="0089225E"/>
    <w:rsid w:val="008A0DB7"/>
    <w:rsid w:val="008A3923"/>
    <w:rsid w:val="008A3EE0"/>
    <w:rsid w:val="008B3FE7"/>
    <w:rsid w:val="008B55A3"/>
    <w:rsid w:val="008C147E"/>
    <w:rsid w:val="008D2683"/>
    <w:rsid w:val="008D575A"/>
    <w:rsid w:val="008D6013"/>
    <w:rsid w:val="008D7B8C"/>
    <w:rsid w:val="008E1FEC"/>
    <w:rsid w:val="008F3016"/>
    <w:rsid w:val="008F4052"/>
    <w:rsid w:val="008F7195"/>
    <w:rsid w:val="009063D2"/>
    <w:rsid w:val="00906FF8"/>
    <w:rsid w:val="00910301"/>
    <w:rsid w:val="0091159F"/>
    <w:rsid w:val="00914DA8"/>
    <w:rsid w:val="00936388"/>
    <w:rsid w:val="00936D4F"/>
    <w:rsid w:val="00940C88"/>
    <w:rsid w:val="0094123B"/>
    <w:rsid w:val="00941ADA"/>
    <w:rsid w:val="00942572"/>
    <w:rsid w:val="00942FA6"/>
    <w:rsid w:val="00943239"/>
    <w:rsid w:val="009572AA"/>
    <w:rsid w:val="00960851"/>
    <w:rsid w:val="00973117"/>
    <w:rsid w:val="0097469C"/>
    <w:rsid w:val="00976B2F"/>
    <w:rsid w:val="009907FC"/>
    <w:rsid w:val="009924B8"/>
    <w:rsid w:val="009932F3"/>
    <w:rsid w:val="009940EB"/>
    <w:rsid w:val="009A3896"/>
    <w:rsid w:val="009B12DB"/>
    <w:rsid w:val="009B32F5"/>
    <w:rsid w:val="009B7855"/>
    <w:rsid w:val="009B7E83"/>
    <w:rsid w:val="009C139B"/>
    <w:rsid w:val="009C42C2"/>
    <w:rsid w:val="009C6E1E"/>
    <w:rsid w:val="009C743E"/>
    <w:rsid w:val="009E5271"/>
    <w:rsid w:val="009E7F10"/>
    <w:rsid w:val="009F65C3"/>
    <w:rsid w:val="00A02B48"/>
    <w:rsid w:val="00A05287"/>
    <w:rsid w:val="00A052AE"/>
    <w:rsid w:val="00A05C80"/>
    <w:rsid w:val="00A1269B"/>
    <w:rsid w:val="00A1511B"/>
    <w:rsid w:val="00A16526"/>
    <w:rsid w:val="00A1681D"/>
    <w:rsid w:val="00A23B6A"/>
    <w:rsid w:val="00A24A6C"/>
    <w:rsid w:val="00A27522"/>
    <w:rsid w:val="00A359AC"/>
    <w:rsid w:val="00A40ADA"/>
    <w:rsid w:val="00A76C9E"/>
    <w:rsid w:val="00A86513"/>
    <w:rsid w:val="00A87B53"/>
    <w:rsid w:val="00A87DF0"/>
    <w:rsid w:val="00A9109E"/>
    <w:rsid w:val="00A9112D"/>
    <w:rsid w:val="00A9400A"/>
    <w:rsid w:val="00A956CC"/>
    <w:rsid w:val="00AA6310"/>
    <w:rsid w:val="00AA6DE3"/>
    <w:rsid w:val="00AB036B"/>
    <w:rsid w:val="00AB0464"/>
    <w:rsid w:val="00AB10AD"/>
    <w:rsid w:val="00AB4BB5"/>
    <w:rsid w:val="00AC3F4A"/>
    <w:rsid w:val="00AC4876"/>
    <w:rsid w:val="00AC707A"/>
    <w:rsid w:val="00AD02FB"/>
    <w:rsid w:val="00AD5398"/>
    <w:rsid w:val="00AD6841"/>
    <w:rsid w:val="00AD7E11"/>
    <w:rsid w:val="00AE053F"/>
    <w:rsid w:val="00AE0AC9"/>
    <w:rsid w:val="00AE2C75"/>
    <w:rsid w:val="00AF283B"/>
    <w:rsid w:val="00AF2A03"/>
    <w:rsid w:val="00AF503A"/>
    <w:rsid w:val="00AF78D4"/>
    <w:rsid w:val="00B05328"/>
    <w:rsid w:val="00B079DA"/>
    <w:rsid w:val="00B12DB9"/>
    <w:rsid w:val="00B13320"/>
    <w:rsid w:val="00B226F4"/>
    <w:rsid w:val="00B267C1"/>
    <w:rsid w:val="00B32548"/>
    <w:rsid w:val="00B32EB6"/>
    <w:rsid w:val="00B416FD"/>
    <w:rsid w:val="00B467A4"/>
    <w:rsid w:val="00B6212E"/>
    <w:rsid w:val="00B628E0"/>
    <w:rsid w:val="00B64DEC"/>
    <w:rsid w:val="00B67B2B"/>
    <w:rsid w:val="00B90942"/>
    <w:rsid w:val="00B93A80"/>
    <w:rsid w:val="00B94388"/>
    <w:rsid w:val="00B96232"/>
    <w:rsid w:val="00BB0981"/>
    <w:rsid w:val="00BB788D"/>
    <w:rsid w:val="00BB7C3F"/>
    <w:rsid w:val="00BD47CC"/>
    <w:rsid w:val="00BD6286"/>
    <w:rsid w:val="00BE385B"/>
    <w:rsid w:val="00BE3E26"/>
    <w:rsid w:val="00BF3AB1"/>
    <w:rsid w:val="00BF6F17"/>
    <w:rsid w:val="00C106D4"/>
    <w:rsid w:val="00C16B45"/>
    <w:rsid w:val="00C20294"/>
    <w:rsid w:val="00C23E5A"/>
    <w:rsid w:val="00C33633"/>
    <w:rsid w:val="00C350BE"/>
    <w:rsid w:val="00C36AD2"/>
    <w:rsid w:val="00C42C53"/>
    <w:rsid w:val="00C42E43"/>
    <w:rsid w:val="00C45C3B"/>
    <w:rsid w:val="00C45D01"/>
    <w:rsid w:val="00C55B28"/>
    <w:rsid w:val="00C60558"/>
    <w:rsid w:val="00C617F2"/>
    <w:rsid w:val="00C6360C"/>
    <w:rsid w:val="00C6425D"/>
    <w:rsid w:val="00C65101"/>
    <w:rsid w:val="00C70BB2"/>
    <w:rsid w:val="00C73849"/>
    <w:rsid w:val="00C73FEA"/>
    <w:rsid w:val="00C8163B"/>
    <w:rsid w:val="00C872AD"/>
    <w:rsid w:val="00C93C1C"/>
    <w:rsid w:val="00C95B12"/>
    <w:rsid w:val="00C97D0E"/>
    <w:rsid w:val="00CA08A2"/>
    <w:rsid w:val="00CA333A"/>
    <w:rsid w:val="00CA6C34"/>
    <w:rsid w:val="00CB0D35"/>
    <w:rsid w:val="00CB2D61"/>
    <w:rsid w:val="00CB60D0"/>
    <w:rsid w:val="00CB64DC"/>
    <w:rsid w:val="00CC0C0A"/>
    <w:rsid w:val="00CC3052"/>
    <w:rsid w:val="00CC45AB"/>
    <w:rsid w:val="00CC7011"/>
    <w:rsid w:val="00CD4330"/>
    <w:rsid w:val="00CE36C8"/>
    <w:rsid w:val="00CE3B22"/>
    <w:rsid w:val="00CF25BE"/>
    <w:rsid w:val="00D0275E"/>
    <w:rsid w:val="00D03693"/>
    <w:rsid w:val="00D06468"/>
    <w:rsid w:val="00D07614"/>
    <w:rsid w:val="00D16A9D"/>
    <w:rsid w:val="00D1747D"/>
    <w:rsid w:val="00D265F9"/>
    <w:rsid w:val="00D27462"/>
    <w:rsid w:val="00D27A38"/>
    <w:rsid w:val="00D34E35"/>
    <w:rsid w:val="00D35C81"/>
    <w:rsid w:val="00D37F07"/>
    <w:rsid w:val="00D425F9"/>
    <w:rsid w:val="00D4412B"/>
    <w:rsid w:val="00D519D4"/>
    <w:rsid w:val="00D64A40"/>
    <w:rsid w:val="00D65611"/>
    <w:rsid w:val="00D72B79"/>
    <w:rsid w:val="00D73A64"/>
    <w:rsid w:val="00D85221"/>
    <w:rsid w:val="00D85F08"/>
    <w:rsid w:val="00D9018A"/>
    <w:rsid w:val="00D90DE1"/>
    <w:rsid w:val="00D94E1A"/>
    <w:rsid w:val="00D9604E"/>
    <w:rsid w:val="00DA4623"/>
    <w:rsid w:val="00DA52A0"/>
    <w:rsid w:val="00DA538E"/>
    <w:rsid w:val="00DB2EBD"/>
    <w:rsid w:val="00DC2132"/>
    <w:rsid w:val="00DC7A05"/>
    <w:rsid w:val="00DC7E07"/>
    <w:rsid w:val="00DD200A"/>
    <w:rsid w:val="00DD6094"/>
    <w:rsid w:val="00DE35ED"/>
    <w:rsid w:val="00DE3BC3"/>
    <w:rsid w:val="00DE7E89"/>
    <w:rsid w:val="00DF11DD"/>
    <w:rsid w:val="00DF1A5D"/>
    <w:rsid w:val="00DF53B1"/>
    <w:rsid w:val="00DF549E"/>
    <w:rsid w:val="00DF60FC"/>
    <w:rsid w:val="00DF735E"/>
    <w:rsid w:val="00E103B4"/>
    <w:rsid w:val="00E12108"/>
    <w:rsid w:val="00E16B17"/>
    <w:rsid w:val="00E20479"/>
    <w:rsid w:val="00E22053"/>
    <w:rsid w:val="00E238F5"/>
    <w:rsid w:val="00E30493"/>
    <w:rsid w:val="00E476D7"/>
    <w:rsid w:val="00E535A0"/>
    <w:rsid w:val="00E54633"/>
    <w:rsid w:val="00E55E14"/>
    <w:rsid w:val="00E56896"/>
    <w:rsid w:val="00E63BD2"/>
    <w:rsid w:val="00E6521C"/>
    <w:rsid w:val="00E6685A"/>
    <w:rsid w:val="00E91A7E"/>
    <w:rsid w:val="00E9372D"/>
    <w:rsid w:val="00E95F86"/>
    <w:rsid w:val="00EA7ECB"/>
    <w:rsid w:val="00EB6B96"/>
    <w:rsid w:val="00EC0862"/>
    <w:rsid w:val="00ED6139"/>
    <w:rsid w:val="00EF0051"/>
    <w:rsid w:val="00EF19C9"/>
    <w:rsid w:val="00EF658E"/>
    <w:rsid w:val="00EF71D6"/>
    <w:rsid w:val="00F02B0E"/>
    <w:rsid w:val="00F05EDB"/>
    <w:rsid w:val="00F10124"/>
    <w:rsid w:val="00F21645"/>
    <w:rsid w:val="00F26DF9"/>
    <w:rsid w:val="00F3169D"/>
    <w:rsid w:val="00F33749"/>
    <w:rsid w:val="00F33B86"/>
    <w:rsid w:val="00F34E21"/>
    <w:rsid w:val="00F35D66"/>
    <w:rsid w:val="00F4046E"/>
    <w:rsid w:val="00F41F60"/>
    <w:rsid w:val="00F42453"/>
    <w:rsid w:val="00F44ABA"/>
    <w:rsid w:val="00F5090F"/>
    <w:rsid w:val="00F51402"/>
    <w:rsid w:val="00F51FD4"/>
    <w:rsid w:val="00F56A3A"/>
    <w:rsid w:val="00F67264"/>
    <w:rsid w:val="00F67700"/>
    <w:rsid w:val="00F7280F"/>
    <w:rsid w:val="00F91D95"/>
    <w:rsid w:val="00F95D58"/>
    <w:rsid w:val="00F95E32"/>
    <w:rsid w:val="00F96A58"/>
    <w:rsid w:val="00FA4E8F"/>
    <w:rsid w:val="00FB0F8F"/>
    <w:rsid w:val="00FB2886"/>
    <w:rsid w:val="00FB71FD"/>
    <w:rsid w:val="00FC0A63"/>
    <w:rsid w:val="00FC16D7"/>
    <w:rsid w:val="00FC4501"/>
    <w:rsid w:val="00FD149A"/>
    <w:rsid w:val="00FD45E8"/>
    <w:rsid w:val="00FD48BF"/>
    <w:rsid w:val="00FE16E9"/>
    <w:rsid w:val="00FE4D8B"/>
    <w:rsid w:val="00FE5D9E"/>
    <w:rsid w:val="017D4D3A"/>
    <w:rsid w:val="0F200751"/>
    <w:rsid w:val="144F75AD"/>
    <w:rsid w:val="1708B028"/>
    <w:rsid w:val="17A17AFD"/>
    <w:rsid w:val="1CC7F6B8"/>
    <w:rsid w:val="1D5F5A06"/>
    <w:rsid w:val="1F3B58C6"/>
    <w:rsid w:val="21611FDA"/>
    <w:rsid w:val="2E605491"/>
    <w:rsid w:val="32416F1C"/>
    <w:rsid w:val="383439F8"/>
    <w:rsid w:val="42DE168D"/>
    <w:rsid w:val="45FC52F0"/>
    <w:rsid w:val="49260316"/>
    <w:rsid w:val="49D31508"/>
    <w:rsid w:val="4F19BA49"/>
    <w:rsid w:val="511C76EE"/>
    <w:rsid w:val="59586049"/>
    <w:rsid w:val="5C3CDA67"/>
    <w:rsid w:val="5FA76EA2"/>
    <w:rsid w:val="6E4E1863"/>
    <w:rsid w:val="6FA954F5"/>
    <w:rsid w:val="726B774D"/>
    <w:rsid w:val="73543986"/>
    <w:rsid w:val="73A00AF1"/>
    <w:rsid w:val="78B01D1E"/>
    <w:rsid w:val="79A63BCB"/>
    <w:rsid w:val="7BD128DF"/>
    <w:rsid w:val="7F1279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EA6AC5"/>
  <w15:docId w15:val="{75D929F1-6C20-5F4D-971A-418B85A9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hAnsiTheme="minorHAnsi" w:cstheme="minorBidi"/>
      <w:kern w:val="2"/>
      <w:sz w:val="24"/>
      <w:szCs w:val="24"/>
      <w:lang w:eastAsia="en-US"/>
      <w14:ligatures w14:val="standardContextual"/>
    </w:rPr>
  </w:style>
  <w:style w:type="paragraph" w:styleId="Heading1">
    <w:name w:val="heading 1"/>
    <w:basedOn w:val="ListParagraph"/>
    <w:next w:val="Normal"/>
    <w:link w:val="Heading1Char"/>
    <w:uiPriority w:val="9"/>
    <w:qFormat/>
    <w:rsid w:val="006A1E41"/>
    <w:pPr>
      <w:numPr>
        <w:numId w:val="2"/>
      </w:numPr>
      <w:ind w:left="360"/>
      <w:outlineLvl w:val="0"/>
    </w:pPr>
    <w:rPr>
      <w:rFonts w:ascii="Arial" w:eastAsia="Times New Roman" w:hAnsi="Arial" w:cs="Arial"/>
      <w:kern w:val="0"/>
      <w:u w:val="single"/>
      <w14:ligatures w14:val="none"/>
    </w:rPr>
  </w:style>
  <w:style w:type="paragraph" w:styleId="Heading2">
    <w:name w:val="heading 2"/>
    <w:basedOn w:val="Normal"/>
    <w:next w:val="Normal"/>
    <w:link w:val="Heading2Char"/>
    <w:uiPriority w:val="9"/>
    <w:unhideWhenUsed/>
    <w:qFormat/>
    <w:rsid w:val="006A1E41"/>
    <w:pPr>
      <w:adjustRightInd w:val="0"/>
      <w:snapToGrid w:val="0"/>
      <w:outlineLvl w:val="1"/>
    </w:pPr>
    <w:rPr>
      <w:rFonts w:ascii="Arial" w:eastAsia="Times New Roman" w:hAnsi="Arial" w:cs="Arial"/>
      <w:i/>
      <w:iCs/>
      <w:kern w:val="0"/>
      <w:sz w:val="22"/>
      <w:szCs w:val="22"/>
      <w14:ligatures w14:val="none"/>
    </w:rPr>
  </w:style>
  <w:style w:type="paragraph" w:styleId="Heading3">
    <w:name w:val="heading 3"/>
    <w:basedOn w:val="Heading4"/>
    <w:next w:val="Normal"/>
    <w:link w:val="Heading3Char"/>
    <w:uiPriority w:val="9"/>
    <w:unhideWhenUsed/>
    <w:qFormat/>
    <w:rsid w:val="006A1E41"/>
    <w:pPr>
      <w:outlineLvl w:val="2"/>
    </w:pPr>
    <w:rPr>
      <w:b/>
      <w:bCs/>
      <w:i w:val="0"/>
      <w:iCs w:val="0"/>
    </w:rPr>
  </w:style>
  <w:style w:type="paragraph" w:styleId="Heading4">
    <w:name w:val="heading 4"/>
    <w:basedOn w:val="Normal"/>
    <w:next w:val="Normal"/>
    <w:link w:val="Heading4Char"/>
    <w:uiPriority w:val="9"/>
    <w:unhideWhenUsed/>
    <w:qFormat/>
    <w:rsid w:val="006A1E41"/>
    <w:pPr>
      <w:adjustRightInd w:val="0"/>
      <w:snapToGrid w:val="0"/>
      <w:outlineLvl w:val="3"/>
    </w:pPr>
    <w:rPr>
      <w:rFonts w:ascii="Arial" w:eastAsia="Times New Roman" w:hAnsi="Arial" w:cs="Arial"/>
      <w:i/>
      <w:iCs/>
      <w:color w:val="000000" w:themeColor="text1"/>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sz w:val="20"/>
      <w:szCs w:val="20"/>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pPr>
      <w:spacing w:beforeAutospacing="1" w:afterAutospacing="1"/>
    </w:pPr>
    <w:rPr>
      <w:rFonts w:cs="Times New Roman"/>
      <w:kern w:val="0"/>
      <w:lang w:eastAsia="zh-CN"/>
    </w:rPr>
  </w:style>
  <w:style w:type="paragraph" w:styleId="CommentSubject">
    <w:name w:val="annotation subject"/>
    <w:basedOn w:val="CommentText"/>
    <w:next w:val="CommentText"/>
    <w:link w:val="CommentSubjectChar"/>
    <w:uiPriority w:val="99"/>
    <w:semiHidden/>
    <w:unhideWhenUsed/>
    <w:qFormat/>
    <w:rPr>
      <w:b/>
      <w:bCs/>
    </w:rPr>
  </w:style>
  <w:style w:type="character" w:styleId="Strong">
    <w:name w:val="Strong"/>
    <w:basedOn w:val="DefaultParagraphFont"/>
    <w:uiPriority w:val="22"/>
    <w:qFormat/>
    <w:rPr>
      <w:b/>
    </w:rPr>
  </w:style>
  <w:style w:type="character" w:styleId="PageNumber">
    <w:name w:val="page number"/>
    <w:basedOn w:val="DefaultParagraphFont"/>
    <w:uiPriority w:val="99"/>
    <w:semiHidden/>
    <w:unhideWhenUsed/>
    <w:qFormat/>
  </w:style>
  <w:style w:type="character" w:styleId="Emphasis">
    <w:name w:val="Emphasis"/>
    <w:basedOn w:val="DefaultParagraphFont"/>
    <w:uiPriority w:val="20"/>
    <w:qFormat/>
    <w:rPr>
      <w:i/>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pPr>
    <w:rPr>
      <w:kern w:val="0"/>
      <w:sz w:val="22"/>
      <w:szCs w:val="22"/>
      <w14:ligatures w14:val="non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Heading4Char">
    <w:name w:val="Heading 4 Char"/>
    <w:basedOn w:val="DefaultParagraphFont"/>
    <w:link w:val="Heading4"/>
    <w:uiPriority w:val="9"/>
    <w:qFormat/>
    <w:rsid w:val="006A1E41"/>
    <w:rPr>
      <w:rFonts w:ascii="Arial" w:eastAsia="Times New Roman" w:hAnsi="Arial" w:cs="Arial"/>
      <w:i/>
      <w:iCs/>
      <w:color w:val="000000" w:themeColor="text1"/>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10">
    <w:name w:val="修订1"/>
    <w:hidden/>
    <w:uiPriority w:val="99"/>
    <w:semiHidden/>
    <w:qFormat/>
    <w:rPr>
      <w:rFonts w:asciiTheme="minorHAnsi" w:hAnsiTheme="minorHAnsi" w:cstheme="minorBidi"/>
      <w:kern w:val="2"/>
      <w:sz w:val="24"/>
      <w:szCs w:val="24"/>
      <w:lang w:eastAsia="en-US"/>
      <w14:ligatures w14:val="standardContextual"/>
    </w:rPr>
  </w:style>
  <w:style w:type="paragraph" w:customStyle="1" w:styleId="2">
    <w:name w:val="修订2"/>
    <w:hidden/>
    <w:uiPriority w:val="99"/>
    <w:unhideWhenUsed/>
    <w:qFormat/>
    <w:rPr>
      <w:rFonts w:asciiTheme="minorHAnsi" w:hAnsiTheme="minorHAnsi" w:cstheme="minorBidi"/>
      <w:kern w:val="2"/>
      <w:sz w:val="24"/>
      <w:szCs w:val="24"/>
      <w:lang w:eastAsia="en-US"/>
      <w14:ligatures w14:val="standardContextual"/>
    </w:rPr>
  </w:style>
  <w:style w:type="paragraph" w:styleId="Revision">
    <w:name w:val="Revision"/>
    <w:hidden/>
    <w:uiPriority w:val="99"/>
    <w:unhideWhenUsed/>
    <w:rsid w:val="000A11AA"/>
    <w:rPr>
      <w:rFonts w:asciiTheme="minorHAnsi" w:hAnsiTheme="minorHAnsi" w:cstheme="minorBidi"/>
      <w:kern w:val="2"/>
      <w:sz w:val="24"/>
      <w:szCs w:val="24"/>
      <w:lang w:eastAsia="en-US"/>
      <w14:ligatures w14:val="standardContextual"/>
    </w:rPr>
  </w:style>
  <w:style w:type="character" w:customStyle="1" w:styleId="Heading1Char">
    <w:name w:val="Heading 1 Char"/>
    <w:basedOn w:val="DefaultParagraphFont"/>
    <w:link w:val="Heading1"/>
    <w:uiPriority w:val="9"/>
    <w:rsid w:val="006A1E41"/>
    <w:rPr>
      <w:rFonts w:ascii="Arial" w:eastAsia="Times New Roman" w:hAnsi="Arial" w:cs="Arial"/>
      <w:sz w:val="24"/>
      <w:szCs w:val="24"/>
      <w:u w:val="single"/>
      <w:lang w:eastAsia="en-US"/>
    </w:rPr>
  </w:style>
  <w:style w:type="character" w:customStyle="1" w:styleId="Heading2Char">
    <w:name w:val="Heading 2 Char"/>
    <w:basedOn w:val="DefaultParagraphFont"/>
    <w:link w:val="Heading2"/>
    <w:uiPriority w:val="9"/>
    <w:rsid w:val="006A1E41"/>
    <w:rPr>
      <w:rFonts w:ascii="Arial" w:eastAsia="Times New Roman" w:hAnsi="Arial" w:cs="Arial"/>
      <w:i/>
      <w:iCs/>
      <w:sz w:val="22"/>
      <w:szCs w:val="22"/>
      <w:lang w:eastAsia="en-US"/>
    </w:rPr>
  </w:style>
  <w:style w:type="character" w:customStyle="1" w:styleId="Heading3Char">
    <w:name w:val="Heading 3 Char"/>
    <w:basedOn w:val="DefaultParagraphFont"/>
    <w:link w:val="Heading3"/>
    <w:uiPriority w:val="9"/>
    <w:rsid w:val="006A1E41"/>
    <w:rPr>
      <w:rFonts w:ascii="Arial" w:eastAsia="Times New Roman" w:hAnsi="Arial" w:cs="Arial"/>
      <w:b/>
      <w:bCs/>
      <w:color w:val="000000" w:themeColor="text1"/>
    </w:rPr>
  </w:style>
  <w:style w:type="paragraph" w:styleId="TOCHeading">
    <w:name w:val="TOC Heading"/>
    <w:basedOn w:val="Heading1"/>
    <w:next w:val="Normal"/>
    <w:uiPriority w:val="39"/>
    <w:unhideWhenUsed/>
    <w:qFormat/>
    <w:rsid w:val="00EF71D6"/>
    <w:pPr>
      <w:keepNext/>
      <w:keepLines/>
      <w:numPr>
        <w:numId w:val="0"/>
      </w:numPr>
      <w:spacing w:before="240" w:line="259" w:lineRule="auto"/>
      <w:contextualSpacing w:val="0"/>
      <w:outlineLvl w:val="9"/>
    </w:pPr>
    <w:rPr>
      <w:rFonts w:asciiTheme="majorHAnsi" w:eastAsiaTheme="majorEastAsia" w:hAnsiTheme="majorHAnsi" w:cstheme="majorBidi"/>
      <w:color w:val="2F5496" w:themeColor="accent1" w:themeShade="BF"/>
      <w:sz w:val="32"/>
      <w:szCs w:val="32"/>
      <w:u w:val="none"/>
      <w:lang w:eastAsia="zh-CN"/>
    </w:rPr>
  </w:style>
  <w:style w:type="paragraph" w:styleId="TOC1">
    <w:name w:val="toc 1"/>
    <w:basedOn w:val="Normal"/>
    <w:next w:val="Normal"/>
    <w:autoRedefine/>
    <w:uiPriority w:val="39"/>
    <w:unhideWhenUsed/>
    <w:rsid w:val="00EF71D6"/>
  </w:style>
  <w:style w:type="paragraph" w:styleId="TOC2">
    <w:name w:val="toc 2"/>
    <w:basedOn w:val="Normal"/>
    <w:next w:val="Normal"/>
    <w:autoRedefine/>
    <w:uiPriority w:val="39"/>
    <w:unhideWhenUsed/>
    <w:rsid w:val="00EF71D6"/>
    <w:pPr>
      <w:ind w:leftChars="200" w:left="420"/>
    </w:pPr>
  </w:style>
  <w:style w:type="paragraph" w:styleId="TOC3">
    <w:name w:val="toc 3"/>
    <w:basedOn w:val="Normal"/>
    <w:next w:val="Normal"/>
    <w:autoRedefine/>
    <w:uiPriority w:val="39"/>
    <w:unhideWhenUsed/>
    <w:rsid w:val="00EF71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15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chart" Target="charts/chart4.xml"/><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chart" Target="charts/chart7.xml"/><Relationship Id="rId47" Type="http://schemas.openxmlformats.org/officeDocument/2006/relationships/image" Target="media/image32.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chart" Target="charts/chart5.xml"/><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2.xml"/><Relationship Id="rId28" Type="http://schemas.openxmlformats.org/officeDocument/2006/relationships/image" Target="media/image19.jpeg"/><Relationship Id="rId36" Type="http://schemas.openxmlformats.org/officeDocument/2006/relationships/image" Target="media/image27.emf"/><Relationship Id="rId49"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1.xm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chart" Target="charts/chart8.xm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chart" Target="charts/chart3.xml"/><Relationship Id="rId46"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men\Desktop\&#21338;&#22763;&#23398;&#20064;\&#31185;&#30740;&#29983;&#27963;\&#30495;&#33740;&#19982;&#22303;\NH4%20linea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men\Desktop\&#21338;&#22763;&#23398;&#20064;\&#31185;&#30740;&#29983;&#27963;\&#30495;&#33740;&#19982;&#22303;\NH4%20linea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men\Desktop\&#21338;&#22763;&#23398;&#20064;\2024&#24180;&#31179;&#23395;\&#31185;&#30740;&#29983;&#27963;\&#35010;&#32541;&#20462;&#22797;%20&#28151;&#20957;&#22303;\Cellulose%20Fiber%20Mix%20Designs%20(version%20110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men\Desktop\&#21338;&#22763;&#23398;&#20064;\2024&#24180;&#31179;&#23395;\&#31185;&#30740;&#29983;&#27963;\&#35010;&#32541;&#20462;&#22797;%20&#28151;&#20957;&#22303;\Cellulose%20Fiber%20Mix%20Designs%20(version%20110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nuo\Downloads\Compressive_Strength_Chart_Using_Error_Value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nuo\Downloads\wave_speed_combined_chart.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uo\Downloads\wave_speed_combined_chart.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uo\Downloads\Water_Absorption_Percent_3D_14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PH measurement</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en-US" altLang="zh-CN"/>
        </a:p>
      </c:txPr>
    </c:title>
    <c:autoTitleDeleted val="0"/>
    <c:plotArea>
      <c:layout/>
      <c:scatterChart>
        <c:scatterStyle val="lineMarker"/>
        <c:varyColors val="0"/>
        <c:ser>
          <c:idx val="0"/>
          <c:order val="0"/>
          <c:tx>
            <c:strRef>
              <c:f>'PH and NH4 measure'!$B$1</c:f>
              <c:strCache>
                <c:ptCount val="1"/>
                <c:pt idx="0">
                  <c:v>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xVal>
            <c:numRef>
              <c:f>'PH and NH4 measure'!$A$2:$A$10</c:f>
              <c:numCache>
                <c:formatCode>yyyy/m/d</c:formatCode>
                <c:ptCount val="9"/>
                <c:pt idx="0">
                  <c:v>0</c:v>
                </c:pt>
                <c:pt idx="1">
                  <c:v>1</c:v>
                </c:pt>
                <c:pt idx="2">
                  <c:v>2</c:v>
                </c:pt>
                <c:pt idx="3">
                  <c:v>3</c:v>
                </c:pt>
                <c:pt idx="4">
                  <c:v>4</c:v>
                </c:pt>
                <c:pt idx="5">
                  <c:v>5</c:v>
                </c:pt>
                <c:pt idx="6">
                  <c:v>6</c:v>
                </c:pt>
                <c:pt idx="7">
                  <c:v>7</c:v>
                </c:pt>
                <c:pt idx="8">
                  <c:v>8</c:v>
                </c:pt>
              </c:numCache>
            </c:numRef>
          </c:xVal>
          <c:yVal>
            <c:numRef>
              <c:f>'PH and NH4 measure'!$B$2:$B$10</c:f>
              <c:numCache>
                <c:formatCode>General</c:formatCode>
                <c:ptCount val="9"/>
                <c:pt idx="0">
                  <c:v>3.66</c:v>
                </c:pt>
                <c:pt idx="1">
                  <c:v>5.71</c:v>
                </c:pt>
                <c:pt idx="2">
                  <c:v>7.31</c:v>
                </c:pt>
                <c:pt idx="3">
                  <c:v>7.63</c:v>
                </c:pt>
                <c:pt idx="4">
                  <c:v>7.76</c:v>
                </c:pt>
                <c:pt idx="5">
                  <c:v>8.02</c:v>
                </c:pt>
                <c:pt idx="6">
                  <c:v>8.08</c:v>
                </c:pt>
                <c:pt idx="7">
                  <c:v>8.19</c:v>
                </c:pt>
                <c:pt idx="8">
                  <c:v>8.3000000000000007</c:v>
                </c:pt>
              </c:numCache>
            </c:numRef>
          </c:yVal>
          <c:smooth val="0"/>
          <c:extLst>
            <c:ext xmlns:c16="http://schemas.microsoft.com/office/drawing/2014/chart" uri="{C3380CC4-5D6E-409C-BE32-E72D297353CC}">
              <c16:uniqueId val="{00000000-C905-7A45-A2DF-95D18A3663F9}"/>
            </c:ext>
          </c:extLst>
        </c:ser>
        <c:ser>
          <c:idx val="1"/>
          <c:order val="1"/>
          <c:tx>
            <c:strRef>
              <c:f>'PH and NH4 measure'!$C$1</c:f>
              <c:strCache>
                <c:ptCount val="1"/>
                <c:pt idx="0">
                  <c:v>N.C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xVal>
            <c:numRef>
              <c:f>'PH and NH4 measure'!$A$2:$A$10</c:f>
              <c:numCache>
                <c:formatCode>yyyy/m/d</c:formatCode>
                <c:ptCount val="9"/>
                <c:pt idx="0">
                  <c:v>0</c:v>
                </c:pt>
                <c:pt idx="1">
                  <c:v>1</c:v>
                </c:pt>
                <c:pt idx="2">
                  <c:v>2</c:v>
                </c:pt>
                <c:pt idx="3">
                  <c:v>3</c:v>
                </c:pt>
                <c:pt idx="4">
                  <c:v>4</c:v>
                </c:pt>
                <c:pt idx="5">
                  <c:v>5</c:v>
                </c:pt>
                <c:pt idx="6">
                  <c:v>6</c:v>
                </c:pt>
                <c:pt idx="7">
                  <c:v>7</c:v>
                </c:pt>
                <c:pt idx="8">
                  <c:v>8</c:v>
                </c:pt>
              </c:numCache>
            </c:numRef>
          </c:xVal>
          <c:yVal>
            <c:numRef>
              <c:f>'PH and NH4 measure'!$C$2:$C$10</c:f>
              <c:numCache>
                <c:formatCode>General</c:formatCode>
                <c:ptCount val="9"/>
                <c:pt idx="0">
                  <c:v>5.04</c:v>
                </c:pt>
                <c:pt idx="1">
                  <c:v>6.04</c:v>
                </c:pt>
                <c:pt idx="2">
                  <c:v>8.08</c:v>
                </c:pt>
                <c:pt idx="3">
                  <c:v>8.39</c:v>
                </c:pt>
                <c:pt idx="4">
                  <c:v>8.5299999999999994</c:v>
                </c:pt>
                <c:pt idx="5">
                  <c:v>8.65</c:v>
                </c:pt>
                <c:pt idx="6">
                  <c:v>8.64</c:v>
                </c:pt>
                <c:pt idx="7">
                  <c:v>8.7799999999999994</c:v>
                </c:pt>
                <c:pt idx="8">
                  <c:v>8.92</c:v>
                </c:pt>
              </c:numCache>
            </c:numRef>
          </c:yVal>
          <c:smooth val="0"/>
          <c:extLst>
            <c:ext xmlns:c16="http://schemas.microsoft.com/office/drawing/2014/chart" uri="{C3380CC4-5D6E-409C-BE32-E72D297353CC}">
              <c16:uniqueId val="{00000001-C905-7A45-A2DF-95D18A3663F9}"/>
            </c:ext>
          </c:extLst>
        </c:ser>
        <c:ser>
          <c:idx val="2"/>
          <c:order val="2"/>
          <c:tx>
            <c:strRef>
              <c:f>'PH and NH4 measure'!$D$1</c:f>
              <c:strCache>
                <c:ptCount val="1"/>
                <c:pt idx="0">
                  <c:v>A.N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xVal>
            <c:numRef>
              <c:f>'PH and NH4 measure'!$A$2:$A$10</c:f>
              <c:numCache>
                <c:formatCode>yyyy/m/d</c:formatCode>
                <c:ptCount val="9"/>
                <c:pt idx="0">
                  <c:v>0</c:v>
                </c:pt>
                <c:pt idx="1">
                  <c:v>1</c:v>
                </c:pt>
                <c:pt idx="2">
                  <c:v>2</c:v>
                </c:pt>
                <c:pt idx="3">
                  <c:v>3</c:v>
                </c:pt>
                <c:pt idx="4">
                  <c:v>4</c:v>
                </c:pt>
                <c:pt idx="5">
                  <c:v>5</c:v>
                </c:pt>
                <c:pt idx="6">
                  <c:v>6</c:v>
                </c:pt>
                <c:pt idx="7">
                  <c:v>7</c:v>
                </c:pt>
                <c:pt idx="8">
                  <c:v>8</c:v>
                </c:pt>
              </c:numCache>
            </c:numRef>
          </c:xVal>
          <c:yVal>
            <c:numRef>
              <c:f>'PH and NH4 measure'!$D$2:$D$10</c:f>
              <c:numCache>
                <c:formatCode>General</c:formatCode>
                <c:ptCount val="9"/>
                <c:pt idx="0">
                  <c:v>2.69</c:v>
                </c:pt>
                <c:pt idx="1">
                  <c:v>5.48</c:v>
                </c:pt>
                <c:pt idx="2">
                  <c:v>7.88</c:v>
                </c:pt>
                <c:pt idx="3">
                  <c:v>8.27</c:v>
                </c:pt>
                <c:pt idx="4">
                  <c:v>8.31</c:v>
                </c:pt>
                <c:pt idx="5">
                  <c:v>8.4700000000000006</c:v>
                </c:pt>
                <c:pt idx="6">
                  <c:v>8.64</c:v>
                </c:pt>
                <c:pt idx="7">
                  <c:v>8.73</c:v>
                </c:pt>
                <c:pt idx="8">
                  <c:v>8.74</c:v>
                </c:pt>
              </c:numCache>
            </c:numRef>
          </c:yVal>
          <c:smooth val="0"/>
          <c:extLst>
            <c:ext xmlns:c16="http://schemas.microsoft.com/office/drawing/2014/chart" uri="{C3380CC4-5D6E-409C-BE32-E72D297353CC}">
              <c16:uniqueId val="{00000002-C905-7A45-A2DF-95D18A3663F9}"/>
            </c:ext>
          </c:extLst>
        </c:ser>
        <c:dLbls>
          <c:showLegendKey val="0"/>
          <c:showVal val="0"/>
          <c:showCatName val="0"/>
          <c:showSerName val="0"/>
          <c:showPercent val="0"/>
          <c:showBubbleSize val="0"/>
        </c:dLbls>
        <c:axId val="873393432"/>
        <c:axId val="873389832"/>
      </c:scatterChart>
      <c:valAx>
        <c:axId val="873393432"/>
        <c:scaling>
          <c:orientation val="minMax"/>
          <c:max val="9"/>
          <c:min val="0"/>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altLang="zh-CN"/>
                  <a:t>Day</a:t>
                </a:r>
              </a:p>
            </c:rich>
          </c:tx>
          <c:layout>
            <c:manualLayout>
              <c:xMode val="edge"/>
              <c:yMode val="edge"/>
              <c:x val="0.466616797900262"/>
              <c:y val="0.87405074365704305"/>
            </c:manualLayout>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ltLang="zh-CN"/>
            </a:p>
          </c:txPr>
        </c:title>
        <c:numFmt formatCode="#,##0_);[Red]\(#,##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873389832"/>
        <c:crosses val="autoZero"/>
        <c:crossBetween val="midCat"/>
      </c:valAx>
      <c:valAx>
        <c:axId val="873389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altLang="zh-CN"/>
                  <a:t>PH</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lt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8733934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NH4 concentration 1*10^-3(mol/L) </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en-US" altLang="zh-CN"/>
        </a:p>
      </c:txPr>
    </c:title>
    <c:autoTitleDeleted val="0"/>
    <c:plotArea>
      <c:layout/>
      <c:scatterChart>
        <c:scatterStyle val="lineMarker"/>
        <c:varyColors val="0"/>
        <c:ser>
          <c:idx val="0"/>
          <c:order val="0"/>
          <c:tx>
            <c:strRef>
              <c:f>'PH and NH4 measure'!$H$1</c:f>
              <c:strCache>
                <c:ptCount val="1"/>
                <c:pt idx="0">
                  <c:v>T.R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'PH and NH4 measure'!$G$2:$G$9</c:f>
              <c:numCache>
                <c:formatCode>yyyy/m/d</c:formatCode>
                <c:ptCount val="8"/>
                <c:pt idx="0">
                  <c:v>0</c:v>
                </c:pt>
                <c:pt idx="1">
                  <c:v>1</c:v>
                </c:pt>
                <c:pt idx="2">
                  <c:v>2</c:v>
                </c:pt>
                <c:pt idx="3">
                  <c:v>3</c:v>
                </c:pt>
                <c:pt idx="4">
                  <c:v>4</c:v>
                </c:pt>
                <c:pt idx="5">
                  <c:v>5</c:v>
                </c:pt>
                <c:pt idx="6">
                  <c:v>6</c:v>
                </c:pt>
                <c:pt idx="7">
                  <c:v>7</c:v>
                </c:pt>
              </c:numCache>
            </c:numRef>
          </c:xVal>
          <c:yVal>
            <c:numRef>
              <c:f>'PH and NH4 measure'!$J$2:$J$9</c:f>
              <c:numCache>
                <c:formatCode>General</c:formatCode>
                <c:ptCount val="8"/>
                <c:pt idx="0">
                  <c:v>0</c:v>
                </c:pt>
                <c:pt idx="1">
                  <c:v>4.5025199999999996</c:v>
                </c:pt>
                <c:pt idx="2">
                  <c:v>6.7765199999999997</c:v>
                </c:pt>
                <c:pt idx="3">
                  <c:v>9.5962800000000001</c:v>
                </c:pt>
                <c:pt idx="4">
                  <c:v>13.120979999999999</c:v>
                </c:pt>
                <c:pt idx="5">
                  <c:v>16.12266</c:v>
                </c:pt>
                <c:pt idx="6">
                  <c:v>17.48706</c:v>
                </c:pt>
                <c:pt idx="7">
                  <c:v>20.215859999999999</c:v>
                </c:pt>
              </c:numCache>
            </c:numRef>
          </c:yVal>
          <c:smooth val="0"/>
          <c:extLst>
            <c:ext xmlns:c16="http://schemas.microsoft.com/office/drawing/2014/chart" uri="{C3380CC4-5D6E-409C-BE32-E72D297353CC}">
              <c16:uniqueId val="{00000000-9384-F24A-B6C0-0F18F28B5E75}"/>
            </c:ext>
          </c:extLst>
        </c:ser>
        <c:ser>
          <c:idx val="1"/>
          <c:order val="1"/>
          <c:tx>
            <c:strRef>
              <c:f>'PH and NH4 measure'!$K$1</c:f>
              <c:strCache>
                <c:ptCount val="1"/>
                <c:pt idx="0">
                  <c:v>N.C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'PH and NH4 measure'!$G$2:$G$9</c:f>
              <c:numCache>
                <c:formatCode>yyyy/m/d</c:formatCode>
                <c:ptCount val="8"/>
                <c:pt idx="0">
                  <c:v>0</c:v>
                </c:pt>
                <c:pt idx="1">
                  <c:v>1</c:v>
                </c:pt>
                <c:pt idx="2">
                  <c:v>2</c:v>
                </c:pt>
                <c:pt idx="3">
                  <c:v>3</c:v>
                </c:pt>
                <c:pt idx="4">
                  <c:v>4</c:v>
                </c:pt>
                <c:pt idx="5">
                  <c:v>5</c:v>
                </c:pt>
                <c:pt idx="6">
                  <c:v>6</c:v>
                </c:pt>
                <c:pt idx="7">
                  <c:v>7</c:v>
                </c:pt>
              </c:numCache>
            </c:numRef>
          </c:xVal>
          <c:yVal>
            <c:numRef>
              <c:f>'PH and NH4 measure'!$M$2:$M$9</c:f>
              <c:numCache>
                <c:formatCode>General</c:formatCode>
                <c:ptCount val="8"/>
                <c:pt idx="0">
                  <c:v>0</c:v>
                </c:pt>
                <c:pt idx="1">
                  <c:v>15.07662</c:v>
                </c:pt>
                <c:pt idx="2">
                  <c:v>25.013999999999999</c:v>
                </c:pt>
                <c:pt idx="3">
                  <c:v>23.876999999999999</c:v>
                </c:pt>
                <c:pt idx="4">
                  <c:v>23.876999999999999</c:v>
                </c:pt>
                <c:pt idx="5">
                  <c:v>27.288</c:v>
                </c:pt>
                <c:pt idx="6">
                  <c:v>33.655200000000001</c:v>
                </c:pt>
                <c:pt idx="7">
                  <c:v>39.340200000000003</c:v>
                </c:pt>
              </c:numCache>
            </c:numRef>
          </c:yVal>
          <c:smooth val="0"/>
          <c:extLst>
            <c:ext xmlns:c16="http://schemas.microsoft.com/office/drawing/2014/chart" uri="{C3380CC4-5D6E-409C-BE32-E72D297353CC}">
              <c16:uniqueId val="{00000001-9384-F24A-B6C0-0F18F28B5E75}"/>
            </c:ext>
          </c:extLst>
        </c:ser>
        <c:ser>
          <c:idx val="2"/>
          <c:order val="2"/>
          <c:tx>
            <c:strRef>
              <c:f>'PH and NH4 measure'!$N$1</c:f>
              <c:strCache>
                <c:ptCount val="1"/>
                <c:pt idx="0">
                  <c:v>A.N</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'PH and NH4 measure'!$G$2:$G$9</c:f>
              <c:numCache>
                <c:formatCode>yyyy/m/d</c:formatCode>
                <c:ptCount val="8"/>
                <c:pt idx="0">
                  <c:v>0</c:v>
                </c:pt>
                <c:pt idx="1">
                  <c:v>1</c:v>
                </c:pt>
                <c:pt idx="2">
                  <c:v>2</c:v>
                </c:pt>
                <c:pt idx="3">
                  <c:v>3</c:v>
                </c:pt>
                <c:pt idx="4">
                  <c:v>4</c:v>
                </c:pt>
                <c:pt idx="5">
                  <c:v>5</c:v>
                </c:pt>
                <c:pt idx="6">
                  <c:v>6</c:v>
                </c:pt>
                <c:pt idx="7">
                  <c:v>7</c:v>
                </c:pt>
              </c:numCache>
            </c:numRef>
          </c:xVal>
          <c:yVal>
            <c:numRef>
              <c:f>'PH and NH4 measure'!$P$2:$P$9</c:f>
              <c:numCache>
                <c:formatCode>General</c:formatCode>
                <c:ptCount val="8"/>
                <c:pt idx="0">
                  <c:v>0</c:v>
                </c:pt>
                <c:pt idx="1">
                  <c:v>11.64288</c:v>
                </c:pt>
                <c:pt idx="2">
                  <c:v>16.8276</c:v>
                </c:pt>
                <c:pt idx="3">
                  <c:v>17.964600000000001</c:v>
                </c:pt>
                <c:pt idx="4">
                  <c:v>21.375599999999999</c:v>
                </c:pt>
                <c:pt idx="5">
                  <c:v>26.833200000000001</c:v>
                </c:pt>
                <c:pt idx="6">
                  <c:v>31.1538</c:v>
                </c:pt>
                <c:pt idx="7">
                  <c:v>31.608599999999999</c:v>
                </c:pt>
              </c:numCache>
            </c:numRef>
          </c:yVal>
          <c:smooth val="0"/>
          <c:extLst>
            <c:ext xmlns:c16="http://schemas.microsoft.com/office/drawing/2014/chart" uri="{C3380CC4-5D6E-409C-BE32-E72D297353CC}">
              <c16:uniqueId val="{00000002-9384-F24A-B6C0-0F18F28B5E75}"/>
            </c:ext>
          </c:extLst>
        </c:ser>
        <c:dLbls>
          <c:showLegendKey val="0"/>
          <c:showVal val="0"/>
          <c:showCatName val="0"/>
          <c:showSerName val="0"/>
          <c:showPercent val="0"/>
          <c:showBubbleSize val="0"/>
        </c:dLbls>
        <c:axId val="883335200"/>
        <c:axId val="883337720"/>
      </c:scatterChart>
      <c:valAx>
        <c:axId val="883335200"/>
        <c:scaling>
          <c:orientation val="minMax"/>
          <c:max val="7"/>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altLang="zh-CN"/>
                  <a:t>Day</a:t>
                </a:r>
              </a:p>
            </c:rich>
          </c:tx>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ltLang="zh-CN"/>
            </a:p>
          </c:txPr>
        </c:title>
        <c:numFmt formatCode="#,##0_);[Red]\(#,##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883337720"/>
        <c:crosses val="autoZero"/>
        <c:crossBetween val="midCat"/>
      </c:valAx>
      <c:valAx>
        <c:axId val="883337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altLang="zh-CN"/>
                  <a:t>concentration 1*10^-3(mol/L)</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ltLang="zh-CN"/>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8833352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r>
              <a:rPr lang="en-US" altLang="zh-CN" sz="1800" i="1">
                <a:effectLst/>
              </a:rPr>
              <a:t>Untreated cement mortar</a:t>
            </a:r>
            <a:endParaRPr lang="zh-CN" altLang="zh-CN" sz="1800">
              <a:effectLst/>
            </a:endParaRPr>
          </a:p>
        </c:rich>
      </c:tx>
      <c:overlay val="0"/>
      <c:spPr>
        <a:noFill/>
        <a:ln>
          <a:noFill/>
        </a:ln>
        <a:effectLst/>
      </c:spPr>
      <c:txPr>
        <a:bodyPr rot="0" spcFirstLastPara="1"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endParaRPr lang="zh-CN" altLang="zh-CN"/>
        </a:p>
      </c:txPr>
    </c:title>
    <c:autoTitleDeleted val="0"/>
    <c:plotArea>
      <c:layout/>
      <c:scatterChart>
        <c:scatterStyle val="lineMarker"/>
        <c:varyColors val="0"/>
        <c:ser>
          <c:idx val="0"/>
          <c:order val="0"/>
          <c:tx>
            <c:strRef>
              <c:f>cube</c:f>
              <c:strCache>
                <c:ptCount val="1"/>
                <c:pt idx="0">
                  <c:v>cube</c:v>
                </c:pt>
              </c:strCache>
            </c:strRef>
          </c:tx>
          <c:spPr>
            <a:ln w="25400" cap="rnd">
              <a:noFill/>
              <a:round/>
            </a:ln>
            <a:effectLst/>
          </c:spPr>
          <c:marker>
            <c:symbol val="diamond"/>
            <c:size val="6"/>
            <c:spPr>
              <a:solidFill>
                <a:schemeClr val="lt1"/>
              </a:solidFill>
              <a:ln w="15875">
                <a:solidFill>
                  <a:schemeClr val="accent1"/>
                </a:solidFill>
                <a:round/>
              </a:ln>
              <a:effectLst/>
            </c:spPr>
          </c:marker>
          <c:xVal>
            <c:numRef>
              <c:f>'result1130(3,7,28days)'!$B$2:$B$19</c:f>
              <c:numCache>
                <c:formatCode>General</c:formatCode>
                <c:ptCount val="18"/>
                <c:pt idx="0">
                  <c:v>3</c:v>
                </c:pt>
                <c:pt idx="1">
                  <c:v>3</c:v>
                </c:pt>
                <c:pt idx="2">
                  <c:v>3</c:v>
                </c:pt>
                <c:pt idx="3">
                  <c:v>7</c:v>
                </c:pt>
                <c:pt idx="4">
                  <c:v>7</c:v>
                </c:pt>
                <c:pt idx="5">
                  <c:v>7</c:v>
                </c:pt>
                <c:pt idx="6">
                  <c:v>28</c:v>
                </c:pt>
                <c:pt idx="7">
                  <c:v>28</c:v>
                </c:pt>
                <c:pt idx="8">
                  <c:v>28</c:v>
                </c:pt>
              </c:numCache>
            </c:numRef>
          </c:xVal>
          <c:yVal>
            <c:numRef>
              <c:f>'result1130(3,7,28days)'!$C$2:$C$19</c:f>
              <c:numCache>
                <c:formatCode>General</c:formatCode>
                <c:ptCount val="18"/>
                <c:pt idx="0">
                  <c:v>5488</c:v>
                </c:pt>
                <c:pt idx="1">
                  <c:v>4147</c:v>
                </c:pt>
                <c:pt idx="2">
                  <c:v>4560</c:v>
                </c:pt>
                <c:pt idx="3">
                  <c:v>4293</c:v>
                </c:pt>
                <c:pt idx="4">
                  <c:v>5012</c:v>
                </c:pt>
                <c:pt idx="5">
                  <c:v>4056</c:v>
                </c:pt>
                <c:pt idx="6">
                  <c:v>5710</c:v>
                </c:pt>
                <c:pt idx="7">
                  <c:v>8744</c:v>
                </c:pt>
                <c:pt idx="8">
                  <c:v>7223</c:v>
                </c:pt>
              </c:numCache>
            </c:numRef>
          </c:yVal>
          <c:smooth val="0"/>
          <c:extLst>
            <c:ext xmlns:c16="http://schemas.microsoft.com/office/drawing/2014/chart" uri="{C3380CC4-5D6E-409C-BE32-E72D297353CC}">
              <c16:uniqueId val="{00000000-9E42-9C45-BC0A-9402ED4DCDB0}"/>
            </c:ext>
          </c:extLst>
        </c:ser>
        <c:ser>
          <c:idx val="1"/>
          <c:order val="1"/>
          <c:tx>
            <c:strRef>
              <c:f>cylinder</c:f>
              <c:strCache>
                <c:ptCount val="1"/>
                <c:pt idx="0">
                  <c:v>cylinder</c:v>
                </c:pt>
              </c:strCache>
            </c:strRef>
          </c:tx>
          <c:spPr>
            <a:ln w="25400" cap="rnd">
              <a:noFill/>
              <a:round/>
            </a:ln>
            <a:effectLst/>
          </c:spPr>
          <c:marker>
            <c:symbol val="square"/>
            <c:size val="6"/>
            <c:spPr>
              <a:solidFill>
                <a:schemeClr val="lt1"/>
              </a:solidFill>
              <a:ln w="15875">
                <a:solidFill>
                  <a:schemeClr val="accent2"/>
                </a:solidFill>
                <a:round/>
              </a:ln>
              <a:effectLst/>
            </c:spPr>
          </c:marker>
          <c:xVal>
            <c:numRef>
              <c:f>'result1130(3,7,28days)'!$B$2:$B$19</c:f>
              <c:numCache>
                <c:formatCode>General</c:formatCode>
                <c:ptCount val="18"/>
                <c:pt idx="0">
                  <c:v>3</c:v>
                </c:pt>
                <c:pt idx="1">
                  <c:v>3</c:v>
                </c:pt>
                <c:pt idx="2">
                  <c:v>3</c:v>
                </c:pt>
                <c:pt idx="3">
                  <c:v>7</c:v>
                </c:pt>
                <c:pt idx="4">
                  <c:v>7</c:v>
                </c:pt>
                <c:pt idx="5">
                  <c:v>7</c:v>
                </c:pt>
                <c:pt idx="6">
                  <c:v>28</c:v>
                </c:pt>
                <c:pt idx="7">
                  <c:v>28</c:v>
                </c:pt>
                <c:pt idx="8">
                  <c:v>28</c:v>
                </c:pt>
              </c:numCache>
            </c:numRef>
          </c:xVal>
          <c:yVal>
            <c:numRef>
              <c:f>'result1130(3,7,28days)'!$D$2:$D$19</c:f>
              <c:numCache>
                <c:formatCode>General</c:formatCode>
                <c:ptCount val="18"/>
                <c:pt idx="0">
                  <c:v>5892</c:v>
                </c:pt>
                <c:pt idx="1">
                  <c:v>6171</c:v>
                </c:pt>
                <c:pt idx="2">
                  <c:v>5703</c:v>
                </c:pt>
                <c:pt idx="3">
                  <c:v>7448</c:v>
                </c:pt>
                <c:pt idx="4">
                  <c:v>7762</c:v>
                </c:pt>
                <c:pt idx="5">
                  <c:v>7139</c:v>
                </c:pt>
                <c:pt idx="6">
                  <c:v>8983</c:v>
                </c:pt>
                <c:pt idx="7">
                  <c:v>8208</c:v>
                </c:pt>
                <c:pt idx="8">
                  <c:v>8890</c:v>
                </c:pt>
              </c:numCache>
            </c:numRef>
          </c:yVal>
          <c:smooth val="0"/>
          <c:extLst>
            <c:ext xmlns:c16="http://schemas.microsoft.com/office/drawing/2014/chart" uri="{C3380CC4-5D6E-409C-BE32-E72D297353CC}">
              <c16:uniqueId val="{00000001-9E42-9C45-BC0A-9402ED4DCDB0}"/>
            </c:ext>
          </c:extLst>
        </c:ser>
        <c:dLbls>
          <c:showLegendKey val="0"/>
          <c:showVal val="0"/>
          <c:showCatName val="0"/>
          <c:showSerName val="0"/>
          <c:showPercent val="0"/>
          <c:showBubbleSize val="0"/>
        </c:dLbls>
        <c:axId val="843605712"/>
        <c:axId val="843603552"/>
      </c:scatterChart>
      <c:valAx>
        <c:axId val="84360571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days</a:t>
                </a:r>
              </a:p>
            </c:rich>
          </c:tx>
          <c:overlay val="0"/>
          <c:spPr>
            <a:noFill/>
            <a:ln>
              <a:noFill/>
            </a:ln>
            <a:effectLst/>
          </c:spPr>
          <c:txPr>
            <a:bodyPr rot="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843603552"/>
        <c:crosses val="autoZero"/>
        <c:crossBetween val="midCat"/>
      </c:valAx>
      <c:valAx>
        <c:axId val="8436035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compression test result (psi)</a:t>
                </a:r>
              </a:p>
            </c:rich>
          </c:tx>
          <c:overlay val="0"/>
          <c:spPr>
            <a:noFill/>
            <a:ln>
              <a:noFill/>
            </a:ln>
            <a:effectLst/>
          </c:spPr>
          <c:txPr>
            <a:bodyPr rot="-540000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843605712"/>
        <c:crosses val="autoZero"/>
        <c:crossBetween val="midCat"/>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r>
              <a:rPr lang="en-US" altLang="zh-CN" sz="1800" i="1">
                <a:effectLst/>
              </a:rPr>
              <a:t>Cement mortar + cellulose based fiber (0.45 % of the mortar volume)</a:t>
            </a:r>
            <a:endParaRPr lang="zh-CN" altLang="zh-CN" sz="1800">
              <a:effectLst/>
            </a:endParaRPr>
          </a:p>
        </c:rich>
      </c:tx>
      <c:overlay val="0"/>
      <c:spPr>
        <a:noFill/>
        <a:ln>
          <a:noFill/>
        </a:ln>
        <a:effectLst/>
      </c:spPr>
      <c:txPr>
        <a:bodyPr rot="0" spcFirstLastPara="1"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endParaRPr lang="zh-CN" altLang="zh-CN"/>
        </a:p>
      </c:txPr>
    </c:title>
    <c:autoTitleDeleted val="0"/>
    <c:plotArea>
      <c:layout/>
      <c:scatterChart>
        <c:scatterStyle val="lineMarker"/>
        <c:varyColors val="0"/>
        <c:ser>
          <c:idx val="0"/>
          <c:order val="0"/>
          <c:tx>
            <c:strRef>
              <c:f>cube</c:f>
              <c:strCache>
                <c:ptCount val="1"/>
                <c:pt idx="0">
                  <c:v>cube</c:v>
                </c:pt>
              </c:strCache>
            </c:strRef>
          </c:tx>
          <c:spPr>
            <a:ln w="25400" cap="rnd">
              <a:noFill/>
              <a:round/>
            </a:ln>
            <a:effectLst/>
          </c:spPr>
          <c:marker>
            <c:symbol val="diamond"/>
            <c:size val="6"/>
            <c:spPr>
              <a:solidFill>
                <a:schemeClr val="lt1"/>
              </a:solidFill>
              <a:ln w="15875">
                <a:solidFill>
                  <a:schemeClr val="accent1"/>
                </a:solidFill>
                <a:round/>
              </a:ln>
              <a:effectLst/>
            </c:spPr>
          </c:marker>
          <c:xVal>
            <c:numRef>
              <c:f>'result1130(3,7,28days)'!$G$2:$G$10</c:f>
              <c:numCache>
                <c:formatCode>General</c:formatCode>
                <c:ptCount val="9"/>
                <c:pt idx="0">
                  <c:v>3</c:v>
                </c:pt>
                <c:pt idx="1">
                  <c:v>3</c:v>
                </c:pt>
                <c:pt idx="2">
                  <c:v>3</c:v>
                </c:pt>
                <c:pt idx="3">
                  <c:v>7</c:v>
                </c:pt>
                <c:pt idx="4">
                  <c:v>7</c:v>
                </c:pt>
                <c:pt idx="5">
                  <c:v>7</c:v>
                </c:pt>
                <c:pt idx="6">
                  <c:v>28</c:v>
                </c:pt>
                <c:pt idx="7">
                  <c:v>28</c:v>
                </c:pt>
                <c:pt idx="8">
                  <c:v>28</c:v>
                </c:pt>
              </c:numCache>
            </c:numRef>
          </c:xVal>
          <c:yVal>
            <c:numRef>
              <c:f>'result1130(3,7,28days)'!$H$2:$H$10</c:f>
              <c:numCache>
                <c:formatCode>General</c:formatCode>
                <c:ptCount val="9"/>
                <c:pt idx="0">
                  <c:v>4167</c:v>
                </c:pt>
                <c:pt idx="1">
                  <c:v>4921</c:v>
                </c:pt>
                <c:pt idx="2">
                  <c:v>5008</c:v>
                </c:pt>
                <c:pt idx="3">
                  <c:v>7206</c:v>
                </c:pt>
                <c:pt idx="4">
                  <c:v>8002</c:v>
                </c:pt>
                <c:pt idx="5">
                  <c:v>7219</c:v>
                </c:pt>
                <c:pt idx="6">
                  <c:v>8972</c:v>
                </c:pt>
                <c:pt idx="7">
                  <c:v>9647</c:v>
                </c:pt>
                <c:pt idx="8">
                  <c:v>8015</c:v>
                </c:pt>
              </c:numCache>
            </c:numRef>
          </c:yVal>
          <c:smooth val="0"/>
          <c:extLst>
            <c:ext xmlns:c16="http://schemas.microsoft.com/office/drawing/2014/chart" uri="{C3380CC4-5D6E-409C-BE32-E72D297353CC}">
              <c16:uniqueId val="{00000000-BECE-D647-8B8C-DCB2FD145E0D}"/>
            </c:ext>
          </c:extLst>
        </c:ser>
        <c:ser>
          <c:idx val="1"/>
          <c:order val="1"/>
          <c:tx>
            <c:strRef>
              <c:f>cylinder</c:f>
              <c:strCache>
                <c:ptCount val="1"/>
                <c:pt idx="0">
                  <c:v>cylinder</c:v>
                </c:pt>
              </c:strCache>
            </c:strRef>
          </c:tx>
          <c:spPr>
            <a:ln w="25400" cap="rnd">
              <a:noFill/>
              <a:round/>
            </a:ln>
            <a:effectLst/>
          </c:spPr>
          <c:marker>
            <c:symbol val="square"/>
            <c:size val="6"/>
            <c:spPr>
              <a:solidFill>
                <a:schemeClr val="lt1"/>
              </a:solidFill>
              <a:ln w="15875">
                <a:solidFill>
                  <a:schemeClr val="accent2"/>
                </a:solidFill>
                <a:round/>
              </a:ln>
              <a:effectLst/>
            </c:spPr>
          </c:marker>
          <c:xVal>
            <c:numRef>
              <c:f>'result1130(3,7,28days)'!$G$2:$G$10</c:f>
              <c:numCache>
                <c:formatCode>General</c:formatCode>
                <c:ptCount val="9"/>
                <c:pt idx="0">
                  <c:v>3</c:v>
                </c:pt>
                <c:pt idx="1">
                  <c:v>3</c:v>
                </c:pt>
                <c:pt idx="2">
                  <c:v>3</c:v>
                </c:pt>
                <c:pt idx="3">
                  <c:v>7</c:v>
                </c:pt>
                <c:pt idx="4">
                  <c:v>7</c:v>
                </c:pt>
                <c:pt idx="5">
                  <c:v>7</c:v>
                </c:pt>
                <c:pt idx="6">
                  <c:v>28</c:v>
                </c:pt>
                <c:pt idx="7">
                  <c:v>28</c:v>
                </c:pt>
                <c:pt idx="8">
                  <c:v>28</c:v>
                </c:pt>
              </c:numCache>
            </c:numRef>
          </c:xVal>
          <c:yVal>
            <c:numRef>
              <c:f>'result1130(3,7,28days)'!$I$2:$I$10</c:f>
              <c:numCache>
                <c:formatCode>General</c:formatCode>
                <c:ptCount val="9"/>
                <c:pt idx="0">
                  <c:v>6491</c:v>
                </c:pt>
                <c:pt idx="1">
                  <c:v>6100</c:v>
                </c:pt>
                <c:pt idx="2">
                  <c:v>6481</c:v>
                </c:pt>
                <c:pt idx="3">
                  <c:v>7293</c:v>
                </c:pt>
                <c:pt idx="4">
                  <c:v>7884</c:v>
                </c:pt>
                <c:pt idx="5">
                  <c:v>7575</c:v>
                </c:pt>
                <c:pt idx="6">
                  <c:v>8975</c:v>
                </c:pt>
                <c:pt idx="7">
                  <c:v>9474</c:v>
                </c:pt>
                <c:pt idx="8">
                  <c:v>9071</c:v>
                </c:pt>
              </c:numCache>
            </c:numRef>
          </c:yVal>
          <c:smooth val="0"/>
          <c:extLst>
            <c:ext xmlns:c16="http://schemas.microsoft.com/office/drawing/2014/chart" uri="{C3380CC4-5D6E-409C-BE32-E72D297353CC}">
              <c16:uniqueId val="{00000001-BECE-D647-8B8C-DCB2FD145E0D}"/>
            </c:ext>
          </c:extLst>
        </c:ser>
        <c:dLbls>
          <c:showLegendKey val="0"/>
          <c:showVal val="0"/>
          <c:showCatName val="0"/>
          <c:showSerName val="0"/>
          <c:showPercent val="0"/>
          <c:showBubbleSize val="0"/>
        </c:dLbls>
        <c:axId val="843605712"/>
        <c:axId val="843603552"/>
      </c:scatterChart>
      <c:valAx>
        <c:axId val="84360571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days</a:t>
                </a:r>
              </a:p>
            </c:rich>
          </c:tx>
          <c:overlay val="0"/>
          <c:spPr>
            <a:noFill/>
            <a:ln>
              <a:noFill/>
            </a:ln>
            <a:effectLst/>
          </c:spPr>
          <c:txPr>
            <a:bodyPr rot="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843603552"/>
        <c:crosses val="autoZero"/>
        <c:crossBetween val="midCat"/>
      </c:valAx>
      <c:valAx>
        <c:axId val="8436035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compression test result (psi)</a:t>
                </a:r>
              </a:p>
            </c:rich>
          </c:tx>
          <c:overlay val="0"/>
          <c:spPr>
            <a:noFill/>
            <a:ln>
              <a:noFill/>
            </a:ln>
            <a:effectLst/>
          </c:spPr>
          <c:txPr>
            <a:bodyPr rot="-5400000" spcFirstLastPara="1"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843605712"/>
        <c:crosses val="autoZero"/>
        <c:crossBetween val="midCat"/>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t> Compression Strength by Group </a:t>
            </a:r>
          </a:p>
        </c:rich>
      </c:tx>
      <c:overlay val="0"/>
    </c:title>
    <c:autoTitleDeleted val="0"/>
    <c:plotArea>
      <c:layout/>
      <c:barChart>
        <c:barDir val="col"/>
        <c:grouping val="clustered"/>
        <c:varyColors val="0"/>
        <c:ser>
          <c:idx val="0"/>
          <c:order val="0"/>
          <c:tx>
            <c:strRef>
              <c:f>"Mean Strength"</c:f>
              <c:strCache>
                <c:ptCount val="1"/>
                <c:pt idx="0">
                  <c:v>Mean Strength</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'[Compressive_Strength_Chart_Using_Error_Values.xlsx]Chart Data'!$C$2:$C$7</c:f>
                <c:numCache>
                  <c:formatCode>General</c:formatCode>
                  <c:ptCount val="6"/>
                  <c:pt idx="0">
                    <c:v>1.35278178722845</c:v>
                  </c:pt>
                  <c:pt idx="1">
                    <c:v>1.40728978505377</c:v>
                  </c:pt>
                  <c:pt idx="2">
                    <c:v>3.1515685803201001</c:v>
                  </c:pt>
                  <c:pt idx="3">
                    <c:v>5.1627483515134101</c:v>
                  </c:pt>
                  <c:pt idx="4">
                    <c:v>1.72974975507538</c:v>
                  </c:pt>
                  <c:pt idx="5">
                    <c:v>0.70894590491806897</c:v>
                  </c:pt>
                </c:numCache>
              </c:numRef>
            </c:plus>
            <c:minus>
              <c:numRef>
                <c:f>'[Compressive_Strength_Chart_Using_Error_Values.xlsx]Chart Data'!$C$2:$C$7</c:f>
                <c:numCache>
                  <c:formatCode>General</c:formatCode>
                  <c:ptCount val="6"/>
                  <c:pt idx="0">
                    <c:v>1.35278178722845</c:v>
                  </c:pt>
                  <c:pt idx="1">
                    <c:v>1.40728978505377</c:v>
                  </c:pt>
                  <c:pt idx="2">
                    <c:v>3.1515685803201001</c:v>
                  </c:pt>
                  <c:pt idx="3">
                    <c:v>5.1627483515134101</c:v>
                  </c:pt>
                  <c:pt idx="4">
                    <c:v>1.72974975507538</c:v>
                  </c:pt>
                  <c:pt idx="5">
                    <c:v>0.70894590491806897</c:v>
                  </c:pt>
                </c:numCache>
              </c:numRef>
            </c:minus>
          </c:errBars>
          <c:cat>
            <c:strRef>
              <c:f>'[Compressive_Strength_Chart_Using_Error_Values.xlsx]Chart Data'!$A$2:$A$7</c:f>
              <c:strCache>
                <c:ptCount val="6"/>
                <c:pt idx="0">
                  <c:v>Ctrl</c:v>
                </c:pt>
                <c:pt idx="1">
                  <c:v>SP</c:v>
                </c:pt>
                <c:pt idx="2">
                  <c:v>SP+D-Fiber</c:v>
                </c:pt>
                <c:pt idx="3">
                  <c:v>SP+W-Fiber</c:v>
                </c:pt>
                <c:pt idx="4">
                  <c:v>AN+W-Fiber</c:v>
                </c:pt>
                <c:pt idx="5">
                  <c:v>NC+W-Fiber</c:v>
                </c:pt>
              </c:strCache>
            </c:strRef>
          </c:cat>
          <c:val>
            <c:numRef>
              <c:f>'[Compressive_Strength_Chart_Using_Error_Values.xlsx]Chart Data'!$B$2:$B$7</c:f>
              <c:numCache>
                <c:formatCode>General</c:formatCode>
                <c:ptCount val="6"/>
                <c:pt idx="0">
                  <c:v>19.3202164613527</c:v>
                </c:pt>
                <c:pt idx="1">
                  <c:v>13.1541121060056</c:v>
                </c:pt>
                <c:pt idx="2">
                  <c:v>11.1203858585947</c:v>
                </c:pt>
                <c:pt idx="3">
                  <c:v>16.904069208246099</c:v>
                </c:pt>
                <c:pt idx="4">
                  <c:v>51.4627842901496</c:v>
                </c:pt>
                <c:pt idx="5">
                  <c:v>38.889527810202999</c:v>
                </c:pt>
              </c:numCache>
            </c:numRef>
          </c:val>
          <c:extLst>
            <c:ext xmlns:c16="http://schemas.microsoft.com/office/drawing/2014/chart" uri="{C3380CC4-5D6E-409C-BE32-E72D297353CC}">
              <c16:uniqueId val="{00000000-CA27-314F-B49E-D08AA4826B76}"/>
            </c:ext>
          </c:extLst>
        </c:ser>
        <c:dLbls>
          <c:showLegendKey val="0"/>
          <c:showVal val="1"/>
          <c:showCatName val="0"/>
          <c:showSerName val="0"/>
          <c:showPercent val="0"/>
          <c:showBubbleSize val="0"/>
        </c:dLbls>
        <c:gapWidth val="150"/>
        <c:axId val="50010001"/>
        <c:axId val="50010002"/>
      </c:barChart>
      <c:catAx>
        <c:axId val="50010001"/>
        <c:scaling>
          <c:orientation val="minMax"/>
        </c:scaling>
        <c:delete val="0"/>
        <c:axPos val="b"/>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Group</a:t>
                </a:r>
              </a:p>
            </c:rich>
          </c:tx>
          <c:overlay val="0"/>
        </c:title>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0010002"/>
        <c:crosses val="autoZero"/>
        <c:auto val="1"/>
        <c:lblAlgn val="ctr"/>
        <c:lblOffset val="100"/>
        <c:noMultiLvlLbl val="0"/>
      </c:catAx>
      <c:valAx>
        <c:axId val="50010002"/>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Compressive Strength (MPa)</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0010001"/>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r>
              <a:rPr lang="en-US"/>
              <a:t>P-Wave Speed (Height vs Side)</a:t>
            </a:r>
          </a:p>
        </c:rich>
      </c:tx>
      <c:overlay val="0"/>
      <c:spPr>
        <a:noFill/>
        <a:ln>
          <a:noFill/>
        </a:ln>
        <a:effectLst/>
      </c:spPr>
      <c:txPr>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scatterChart>
        <c:scatterStyle val="smoothMarker"/>
        <c:varyColors val="0"/>
        <c:ser>
          <c:idx val="0"/>
          <c:order val="0"/>
          <c:tx>
            <c:strRef>
              <c:f>"control - P_height"</c:f>
              <c:strCache>
                <c:ptCount val="1"/>
                <c:pt idx="0">
                  <c:v>control - P_height</c:v>
                </c:pt>
              </c:strCache>
            </c:strRef>
          </c:tx>
          <c:spPr>
            <a:ln w="9525" cap="rnd">
              <a:solidFill>
                <a:schemeClr val="accent1">
                  <a:shade val="76667"/>
                  <a:alpha val="50000"/>
                </a:schemeClr>
              </a:solidFill>
              <a:round/>
            </a:ln>
            <a:effectLst/>
          </c:spPr>
          <c:marker>
            <c:symbol val="diamond"/>
            <c:size val="6"/>
            <c:spPr>
              <a:solidFill>
                <a:schemeClr val="lt1"/>
              </a:solidFill>
              <a:ln w="15875">
                <a:solidFill>
                  <a:schemeClr val="accent1">
                    <a:shade val="76667"/>
                  </a:schemeClr>
                </a:solidFill>
                <a:round/>
              </a:ln>
              <a:effectLst/>
            </c:spPr>
          </c:marker>
          <c:xVal>
            <c:numRef>
              <c:f>[wave_speed_combined_chart.xlsx]P_Wave_Data!$B$2:$B$6</c:f>
              <c:numCache>
                <c:formatCode>General</c:formatCode>
                <c:ptCount val="5"/>
                <c:pt idx="0">
                  <c:v>-1</c:v>
                </c:pt>
                <c:pt idx="1">
                  <c:v>0</c:v>
                </c:pt>
                <c:pt idx="2">
                  <c:v>4</c:v>
                </c:pt>
                <c:pt idx="3">
                  <c:v>12</c:v>
                </c:pt>
                <c:pt idx="4">
                  <c:v>16</c:v>
                </c:pt>
              </c:numCache>
            </c:numRef>
          </c:xVal>
          <c:yVal>
            <c:numRef>
              <c:f>[wave_speed_combined_chart.xlsx]P_Wave_Data!$C$2:$C$6</c:f>
              <c:numCache>
                <c:formatCode>General</c:formatCode>
                <c:ptCount val="5"/>
                <c:pt idx="0">
                  <c:v>1615.63</c:v>
                </c:pt>
                <c:pt idx="1">
                  <c:v>1963.98</c:v>
                </c:pt>
                <c:pt idx="2">
                  <c:v>1930.41</c:v>
                </c:pt>
                <c:pt idx="3">
                  <c:v>2574.27</c:v>
                </c:pt>
                <c:pt idx="4">
                  <c:v>2781.27</c:v>
                </c:pt>
              </c:numCache>
            </c:numRef>
          </c:yVal>
          <c:smooth val="1"/>
          <c:extLst>
            <c:ext xmlns:c16="http://schemas.microsoft.com/office/drawing/2014/chart" uri="{C3380CC4-5D6E-409C-BE32-E72D297353CC}">
              <c16:uniqueId val="{00000000-DD81-8847-A9D0-5AB565C94853}"/>
            </c:ext>
          </c:extLst>
        </c:ser>
        <c:ser>
          <c:idx val="1"/>
          <c:order val="1"/>
          <c:tx>
            <c:strRef>
              <c:f>"control - P_side"</c:f>
              <c:strCache>
                <c:ptCount val="1"/>
                <c:pt idx="0">
                  <c:v>control - P_side</c:v>
                </c:pt>
              </c:strCache>
            </c:strRef>
          </c:tx>
          <c:spPr>
            <a:ln w="9525" cap="rnd">
              <a:solidFill>
                <a:schemeClr val="accent2">
                  <a:shade val="76667"/>
                  <a:alpha val="50000"/>
                </a:schemeClr>
              </a:solidFill>
              <a:round/>
            </a:ln>
            <a:effectLst/>
          </c:spPr>
          <c:marker>
            <c:symbol val="square"/>
            <c:size val="6"/>
            <c:spPr>
              <a:solidFill>
                <a:schemeClr val="lt1"/>
              </a:solidFill>
              <a:ln w="15875">
                <a:solidFill>
                  <a:schemeClr val="accent2">
                    <a:shade val="76667"/>
                  </a:schemeClr>
                </a:solidFill>
                <a:round/>
              </a:ln>
              <a:effectLst/>
            </c:spPr>
          </c:marker>
          <c:xVal>
            <c:numRef>
              <c:f>[wave_speed_combined_chart.xlsx]P_Wave_Data!$B$2:$B$6</c:f>
              <c:numCache>
                <c:formatCode>General</c:formatCode>
                <c:ptCount val="5"/>
                <c:pt idx="0">
                  <c:v>-1</c:v>
                </c:pt>
                <c:pt idx="1">
                  <c:v>0</c:v>
                </c:pt>
                <c:pt idx="2">
                  <c:v>4</c:v>
                </c:pt>
                <c:pt idx="3">
                  <c:v>12</c:v>
                </c:pt>
                <c:pt idx="4">
                  <c:v>16</c:v>
                </c:pt>
              </c:numCache>
            </c:numRef>
          </c:xVal>
          <c:yVal>
            <c:numRef>
              <c:f>[wave_speed_combined_chart.xlsx]P_Wave_Data!$D$2:$D$6</c:f>
              <c:numCache>
                <c:formatCode>General</c:formatCode>
                <c:ptCount val="5"/>
                <c:pt idx="0">
                  <c:v>1350.75</c:v>
                </c:pt>
                <c:pt idx="1">
                  <c:v>1111.1099999999999</c:v>
                </c:pt>
                <c:pt idx="2">
                  <c:v>436.16</c:v>
                </c:pt>
                <c:pt idx="3">
                  <c:v>1098.52</c:v>
                </c:pt>
                <c:pt idx="4">
                  <c:v>1197.3599999999999</c:v>
                </c:pt>
              </c:numCache>
            </c:numRef>
          </c:yVal>
          <c:smooth val="1"/>
          <c:extLst>
            <c:ext xmlns:c16="http://schemas.microsoft.com/office/drawing/2014/chart" uri="{C3380CC4-5D6E-409C-BE32-E72D297353CC}">
              <c16:uniqueId val="{00000001-DD81-8847-A9D0-5AB565C94853}"/>
            </c:ext>
          </c:extLst>
        </c:ser>
        <c:ser>
          <c:idx val="2"/>
          <c:order val="2"/>
          <c:tx>
            <c:strRef>
              <c:f>"SP - P_height"</c:f>
              <c:strCache>
                <c:ptCount val="1"/>
                <c:pt idx="0">
                  <c:v>SP - P_height</c:v>
                </c:pt>
              </c:strCache>
            </c:strRef>
          </c:tx>
          <c:spPr>
            <a:ln w="9525" cap="rnd">
              <a:solidFill>
                <a:schemeClr val="accent3">
                  <a:shade val="76667"/>
                  <a:alpha val="50000"/>
                </a:schemeClr>
              </a:solidFill>
              <a:round/>
            </a:ln>
            <a:effectLst/>
          </c:spPr>
          <c:marker>
            <c:symbol val="triangle"/>
            <c:size val="6"/>
            <c:spPr>
              <a:solidFill>
                <a:schemeClr val="lt1"/>
              </a:solidFill>
              <a:ln w="15875">
                <a:solidFill>
                  <a:schemeClr val="accent3">
                    <a:shade val="76667"/>
                  </a:schemeClr>
                </a:solidFill>
                <a:round/>
              </a:ln>
              <a:effectLst/>
            </c:spPr>
          </c:marker>
          <c:xVal>
            <c:numRef>
              <c:f>[wave_speed_combined_chart.xlsx]P_Wave_Data!$B$7:$B$11</c:f>
              <c:numCache>
                <c:formatCode>General</c:formatCode>
                <c:ptCount val="5"/>
                <c:pt idx="0">
                  <c:v>-1</c:v>
                </c:pt>
                <c:pt idx="1">
                  <c:v>0</c:v>
                </c:pt>
                <c:pt idx="2">
                  <c:v>4</c:v>
                </c:pt>
                <c:pt idx="3">
                  <c:v>12</c:v>
                </c:pt>
                <c:pt idx="4">
                  <c:v>16</c:v>
                </c:pt>
              </c:numCache>
            </c:numRef>
          </c:xVal>
          <c:yVal>
            <c:numRef>
              <c:f>[wave_speed_combined_chart.xlsx]P_Wave_Data!$C$7:$C$11</c:f>
              <c:numCache>
                <c:formatCode>General</c:formatCode>
                <c:ptCount val="5"/>
                <c:pt idx="0">
                  <c:v>1381.79</c:v>
                </c:pt>
                <c:pt idx="1">
                  <c:v>1692.65</c:v>
                </c:pt>
                <c:pt idx="2">
                  <c:v>1691.03</c:v>
                </c:pt>
                <c:pt idx="3">
                  <c:v>2274.21</c:v>
                </c:pt>
                <c:pt idx="4">
                  <c:v>2490.5300000000002</c:v>
                </c:pt>
              </c:numCache>
            </c:numRef>
          </c:yVal>
          <c:smooth val="1"/>
          <c:extLst>
            <c:ext xmlns:c16="http://schemas.microsoft.com/office/drawing/2014/chart" uri="{C3380CC4-5D6E-409C-BE32-E72D297353CC}">
              <c16:uniqueId val="{00000002-DD81-8847-A9D0-5AB565C94853}"/>
            </c:ext>
          </c:extLst>
        </c:ser>
        <c:ser>
          <c:idx val="3"/>
          <c:order val="3"/>
          <c:tx>
            <c:strRef>
              <c:f>"SP - P_side"</c:f>
              <c:strCache>
                <c:ptCount val="1"/>
                <c:pt idx="0">
                  <c:v>SP - P_side</c:v>
                </c:pt>
              </c:strCache>
            </c:strRef>
          </c:tx>
          <c:spPr>
            <a:ln w="9525" cap="rnd">
              <a:solidFill>
                <a:schemeClr val="accent4">
                  <a:shade val="76667"/>
                  <a:alpha val="50000"/>
                </a:schemeClr>
              </a:solidFill>
              <a:round/>
            </a:ln>
            <a:effectLst/>
          </c:spPr>
          <c:marker>
            <c:symbol val="x"/>
            <c:size val="6"/>
            <c:spPr>
              <a:noFill/>
              <a:ln w="15875">
                <a:solidFill>
                  <a:schemeClr val="accent4">
                    <a:shade val="76667"/>
                  </a:schemeClr>
                </a:solidFill>
                <a:round/>
              </a:ln>
              <a:effectLst/>
            </c:spPr>
          </c:marker>
          <c:xVal>
            <c:numRef>
              <c:f>[wave_speed_combined_chart.xlsx]P_Wave_Data!$B$7:$B$11</c:f>
              <c:numCache>
                <c:formatCode>General</c:formatCode>
                <c:ptCount val="5"/>
                <c:pt idx="0">
                  <c:v>-1</c:v>
                </c:pt>
                <c:pt idx="1">
                  <c:v>0</c:v>
                </c:pt>
                <c:pt idx="2">
                  <c:v>4</c:v>
                </c:pt>
                <c:pt idx="3">
                  <c:v>12</c:v>
                </c:pt>
                <c:pt idx="4">
                  <c:v>16</c:v>
                </c:pt>
              </c:numCache>
            </c:numRef>
          </c:xVal>
          <c:yVal>
            <c:numRef>
              <c:f>[wave_speed_combined_chart.xlsx]P_Wave_Data!$D$7:$D$11</c:f>
              <c:numCache>
                <c:formatCode>General</c:formatCode>
                <c:ptCount val="5"/>
                <c:pt idx="0">
                  <c:v>1173.43</c:v>
                </c:pt>
                <c:pt idx="1">
                  <c:v>950.92</c:v>
                </c:pt>
                <c:pt idx="2">
                  <c:v>806.13</c:v>
                </c:pt>
                <c:pt idx="3">
                  <c:v>1114.83</c:v>
                </c:pt>
                <c:pt idx="4">
                  <c:v>1277.19</c:v>
                </c:pt>
              </c:numCache>
            </c:numRef>
          </c:yVal>
          <c:smooth val="1"/>
          <c:extLst>
            <c:ext xmlns:c16="http://schemas.microsoft.com/office/drawing/2014/chart" uri="{C3380CC4-5D6E-409C-BE32-E72D297353CC}">
              <c16:uniqueId val="{00000003-DD81-8847-A9D0-5AB565C94853}"/>
            </c:ext>
          </c:extLst>
        </c:ser>
        <c:ser>
          <c:idx val="4"/>
          <c:order val="4"/>
          <c:tx>
            <c:strRef>
              <c:f>"SP+F - P_height"</c:f>
              <c:strCache>
                <c:ptCount val="1"/>
                <c:pt idx="0">
                  <c:v>SP+F - P_height</c:v>
                </c:pt>
              </c:strCache>
            </c:strRef>
          </c:tx>
          <c:spPr>
            <a:ln w="9525" cap="rnd">
              <a:solidFill>
                <a:schemeClr val="accent5">
                  <a:shade val="76667"/>
                  <a:alpha val="50000"/>
                </a:schemeClr>
              </a:solidFill>
              <a:round/>
            </a:ln>
            <a:effectLst/>
          </c:spPr>
          <c:marker>
            <c:symbol val="star"/>
            <c:size val="6"/>
            <c:spPr>
              <a:noFill/>
              <a:ln w="15875">
                <a:solidFill>
                  <a:schemeClr val="accent5">
                    <a:shade val="76667"/>
                  </a:schemeClr>
                </a:solidFill>
                <a:round/>
              </a:ln>
              <a:effectLst/>
            </c:spPr>
          </c:marker>
          <c:xVal>
            <c:numRef>
              <c:f>[wave_speed_combined_chart.xlsx]P_Wave_Data!$B$12:$B$16</c:f>
              <c:numCache>
                <c:formatCode>General</c:formatCode>
                <c:ptCount val="5"/>
                <c:pt idx="0">
                  <c:v>-1</c:v>
                </c:pt>
                <c:pt idx="1">
                  <c:v>0</c:v>
                </c:pt>
                <c:pt idx="2">
                  <c:v>4</c:v>
                </c:pt>
                <c:pt idx="3">
                  <c:v>12</c:v>
                </c:pt>
                <c:pt idx="4">
                  <c:v>16</c:v>
                </c:pt>
              </c:numCache>
            </c:numRef>
          </c:xVal>
          <c:yVal>
            <c:numRef>
              <c:f>[wave_speed_combined_chart.xlsx]P_Wave_Data!$C$12:$C$16</c:f>
              <c:numCache>
                <c:formatCode>General</c:formatCode>
                <c:ptCount val="5"/>
                <c:pt idx="0">
                  <c:v>1383.47</c:v>
                </c:pt>
                <c:pt idx="1">
                  <c:v>1727.58</c:v>
                </c:pt>
                <c:pt idx="2">
                  <c:v>1734.99</c:v>
                </c:pt>
                <c:pt idx="3">
                  <c:v>2277</c:v>
                </c:pt>
                <c:pt idx="4">
                  <c:v>2433.7199999999998</c:v>
                </c:pt>
              </c:numCache>
            </c:numRef>
          </c:yVal>
          <c:smooth val="1"/>
          <c:extLst>
            <c:ext xmlns:c16="http://schemas.microsoft.com/office/drawing/2014/chart" uri="{C3380CC4-5D6E-409C-BE32-E72D297353CC}">
              <c16:uniqueId val="{00000004-DD81-8847-A9D0-5AB565C94853}"/>
            </c:ext>
          </c:extLst>
        </c:ser>
        <c:ser>
          <c:idx val="5"/>
          <c:order val="5"/>
          <c:tx>
            <c:strRef>
              <c:f>"SP+F - P_side"</c:f>
              <c:strCache>
                <c:ptCount val="1"/>
                <c:pt idx="0">
                  <c:v>SP+F - P_side</c:v>
                </c:pt>
              </c:strCache>
            </c:strRef>
          </c:tx>
          <c:spPr>
            <a:ln w="9525" cap="rnd">
              <a:solidFill>
                <a:schemeClr val="accent6">
                  <a:shade val="76667"/>
                  <a:alpha val="50000"/>
                </a:schemeClr>
              </a:solidFill>
              <a:round/>
            </a:ln>
            <a:effectLst/>
          </c:spPr>
          <c:marker>
            <c:symbol val="circle"/>
            <c:size val="6"/>
            <c:spPr>
              <a:solidFill>
                <a:schemeClr val="lt1"/>
              </a:solidFill>
              <a:ln w="15875">
                <a:solidFill>
                  <a:schemeClr val="accent6">
                    <a:shade val="76667"/>
                  </a:schemeClr>
                </a:solidFill>
                <a:round/>
              </a:ln>
              <a:effectLst/>
            </c:spPr>
          </c:marker>
          <c:xVal>
            <c:numRef>
              <c:f>[wave_speed_combined_chart.xlsx]P_Wave_Data!$B$12:$B$16</c:f>
              <c:numCache>
                <c:formatCode>General</c:formatCode>
                <c:ptCount val="5"/>
                <c:pt idx="0">
                  <c:v>-1</c:v>
                </c:pt>
                <c:pt idx="1">
                  <c:v>0</c:v>
                </c:pt>
                <c:pt idx="2">
                  <c:v>4</c:v>
                </c:pt>
                <c:pt idx="3">
                  <c:v>12</c:v>
                </c:pt>
                <c:pt idx="4">
                  <c:v>16</c:v>
                </c:pt>
              </c:numCache>
            </c:numRef>
          </c:xVal>
          <c:yVal>
            <c:numRef>
              <c:f>[wave_speed_combined_chart.xlsx]P_Wave_Data!$D$12:$D$16</c:f>
              <c:numCache>
                <c:formatCode>General</c:formatCode>
                <c:ptCount val="5"/>
                <c:pt idx="0">
                  <c:v>1141.1099999999999</c:v>
                </c:pt>
                <c:pt idx="1">
                  <c:v>917.9</c:v>
                </c:pt>
                <c:pt idx="2">
                  <c:v>468.63</c:v>
                </c:pt>
                <c:pt idx="3">
                  <c:v>1180.8499999999999</c:v>
                </c:pt>
                <c:pt idx="4">
                  <c:v>1397.23</c:v>
                </c:pt>
              </c:numCache>
            </c:numRef>
          </c:yVal>
          <c:smooth val="1"/>
          <c:extLst>
            <c:ext xmlns:c16="http://schemas.microsoft.com/office/drawing/2014/chart" uri="{C3380CC4-5D6E-409C-BE32-E72D297353CC}">
              <c16:uniqueId val="{00000005-DD81-8847-A9D0-5AB565C94853}"/>
            </c:ext>
          </c:extLst>
        </c:ser>
        <c:ser>
          <c:idx val="6"/>
          <c:order val="6"/>
          <c:tx>
            <c:strRef>
              <c:f>"AN+F - P_height"</c:f>
              <c:strCache>
                <c:ptCount val="1"/>
                <c:pt idx="0">
                  <c:v>AN+F - P_height</c:v>
                </c:pt>
              </c:strCache>
            </c:strRef>
          </c:tx>
          <c:spPr>
            <a:ln w="9525" cap="rnd">
              <a:solidFill>
                <a:schemeClr val="accent1">
                  <a:tint val="76667"/>
                  <a:alpha val="50000"/>
                </a:schemeClr>
              </a:solidFill>
              <a:round/>
            </a:ln>
            <a:effectLst/>
          </c:spPr>
          <c:marker>
            <c:symbol val="plus"/>
            <c:size val="6"/>
            <c:spPr>
              <a:noFill/>
              <a:ln w="15875">
                <a:solidFill>
                  <a:schemeClr val="accent1">
                    <a:tint val="76667"/>
                  </a:schemeClr>
                </a:solidFill>
                <a:round/>
              </a:ln>
              <a:effectLst/>
            </c:spPr>
          </c:marker>
          <c:xVal>
            <c:numRef>
              <c:f>[wave_speed_combined_chart.xlsx]P_Wave_Data!$B$17:$B$21</c:f>
              <c:numCache>
                <c:formatCode>General</c:formatCode>
                <c:ptCount val="5"/>
                <c:pt idx="0">
                  <c:v>-1</c:v>
                </c:pt>
                <c:pt idx="1">
                  <c:v>0</c:v>
                </c:pt>
                <c:pt idx="2">
                  <c:v>4</c:v>
                </c:pt>
                <c:pt idx="3">
                  <c:v>12</c:v>
                </c:pt>
                <c:pt idx="4">
                  <c:v>16</c:v>
                </c:pt>
              </c:numCache>
            </c:numRef>
          </c:xVal>
          <c:yVal>
            <c:numRef>
              <c:f>[wave_speed_combined_chart.xlsx]P_Wave_Data!$C$17:$C$21</c:f>
              <c:numCache>
                <c:formatCode>General</c:formatCode>
                <c:ptCount val="5"/>
                <c:pt idx="0">
                  <c:v>1532.09</c:v>
                </c:pt>
                <c:pt idx="1">
                  <c:v>2333.37</c:v>
                </c:pt>
                <c:pt idx="2">
                  <c:v>2039.04</c:v>
                </c:pt>
                <c:pt idx="3">
                  <c:v>2940.98</c:v>
                </c:pt>
                <c:pt idx="4">
                  <c:v>3108.1</c:v>
                </c:pt>
              </c:numCache>
            </c:numRef>
          </c:yVal>
          <c:smooth val="1"/>
          <c:extLst>
            <c:ext xmlns:c16="http://schemas.microsoft.com/office/drawing/2014/chart" uri="{C3380CC4-5D6E-409C-BE32-E72D297353CC}">
              <c16:uniqueId val="{00000006-DD81-8847-A9D0-5AB565C94853}"/>
            </c:ext>
          </c:extLst>
        </c:ser>
        <c:ser>
          <c:idx val="7"/>
          <c:order val="7"/>
          <c:tx>
            <c:strRef>
              <c:f>"AN+F - P_side"</c:f>
              <c:strCache>
                <c:ptCount val="1"/>
                <c:pt idx="0">
                  <c:v>AN+F - P_side</c:v>
                </c:pt>
              </c:strCache>
            </c:strRef>
          </c:tx>
          <c:spPr>
            <a:ln w="9525" cap="rnd">
              <a:solidFill>
                <a:schemeClr val="accent2">
                  <a:tint val="76667"/>
                  <a:alpha val="50000"/>
                </a:schemeClr>
              </a:solidFill>
              <a:round/>
            </a:ln>
            <a:effectLst/>
          </c:spPr>
          <c:marker>
            <c:symbol val="dot"/>
            <c:size val="6"/>
            <c:spPr>
              <a:solidFill>
                <a:schemeClr val="lt1"/>
              </a:solidFill>
              <a:ln w="15875">
                <a:solidFill>
                  <a:schemeClr val="accent2">
                    <a:tint val="76667"/>
                  </a:schemeClr>
                </a:solidFill>
                <a:round/>
              </a:ln>
              <a:effectLst/>
            </c:spPr>
          </c:marker>
          <c:xVal>
            <c:numRef>
              <c:f>[wave_speed_combined_chart.xlsx]P_Wave_Data!$B$17:$B$21</c:f>
              <c:numCache>
                <c:formatCode>General</c:formatCode>
                <c:ptCount val="5"/>
                <c:pt idx="0">
                  <c:v>-1</c:v>
                </c:pt>
                <c:pt idx="1">
                  <c:v>0</c:v>
                </c:pt>
                <c:pt idx="2">
                  <c:v>4</c:v>
                </c:pt>
                <c:pt idx="3">
                  <c:v>12</c:v>
                </c:pt>
                <c:pt idx="4">
                  <c:v>16</c:v>
                </c:pt>
              </c:numCache>
            </c:numRef>
          </c:xVal>
          <c:yVal>
            <c:numRef>
              <c:f>[wave_speed_combined_chart.xlsx]P_Wave_Data!$D$17:$D$21</c:f>
              <c:numCache>
                <c:formatCode>General</c:formatCode>
                <c:ptCount val="5"/>
                <c:pt idx="0">
                  <c:v>1623.54</c:v>
                </c:pt>
                <c:pt idx="1">
                  <c:v>1369.86</c:v>
                </c:pt>
                <c:pt idx="2">
                  <c:v>404.84</c:v>
                </c:pt>
                <c:pt idx="3">
                  <c:v>1157.53</c:v>
                </c:pt>
                <c:pt idx="4">
                  <c:v>1475.67</c:v>
                </c:pt>
              </c:numCache>
            </c:numRef>
          </c:yVal>
          <c:smooth val="1"/>
          <c:extLst>
            <c:ext xmlns:c16="http://schemas.microsoft.com/office/drawing/2014/chart" uri="{C3380CC4-5D6E-409C-BE32-E72D297353CC}">
              <c16:uniqueId val="{00000007-DD81-8847-A9D0-5AB565C94853}"/>
            </c:ext>
          </c:extLst>
        </c:ser>
        <c:ser>
          <c:idx val="8"/>
          <c:order val="8"/>
          <c:tx>
            <c:strRef>
              <c:f>"NC+F - P_height"</c:f>
              <c:strCache>
                <c:ptCount val="1"/>
                <c:pt idx="0">
                  <c:v>NC+F - P_height</c:v>
                </c:pt>
              </c:strCache>
            </c:strRef>
          </c:tx>
          <c:spPr>
            <a:ln w="9525" cap="rnd">
              <a:solidFill>
                <a:schemeClr val="accent3">
                  <a:tint val="76667"/>
                  <a:alpha val="50000"/>
                </a:schemeClr>
              </a:solidFill>
              <a:round/>
            </a:ln>
            <a:effectLst/>
          </c:spPr>
          <c:marker>
            <c:symbol val="dash"/>
            <c:size val="6"/>
            <c:spPr>
              <a:solidFill>
                <a:schemeClr val="lt1"/>
              </a:solidFill>
              <a:ln w="15875">
                <a:solidFill>
                  <a:schemeClr val="accent3">
                    <a:tint val="76667"/>
                  </a:schemeClr>
                </a:solidFill>
                <a:round/>
              </a:ln>
              <a:effectLst/>
            </c:spPr>
          </c:marker>
          <c:xVal>
            <c:numRef>
              <c:f>[wave_speed_combined_chart.xlsx]P_Wave_Data!$B$22:$B$25</c:f>
              <c:numCache>
                <c:formatCode>General</c:formatCode>
                <c:ptCount val="4"/>
                <c:pt idx="0">
                  <c:v>-1</c:v>
                </c:pt>
                <c:pt idx="1">
                  <c:v>0</c:v>
                </c:pt>
                <c:pt idx="2">
                  <c:v>4</c:v>
                </c:pt>
                <c:pt idx="3">
                  <c:v>8</c:v>
                </c:pt>
              </c:numCache>
            </c:numRef>
          </c:xVal>
          <c:yVal>
            <c:numRef>
              <c:f>[wave_speed_combined_chart.xlsx]P_Wave_Data!$C$22:$C$25</c:f>
              <c:numCache>
                <c:formatCode>General</c:formatCode>
                <c:ptCount val="4"/>
                <c:pt idx="0">
                  <c:v>1491.88</c:v>
                </c:pt>
                <c:pt idx="1">
                  <c:v>2648.45</c:v>
                </c:pt>
                <c:pt idx="2">
                  <c:v>2780.28</c:v>
                </c:pt>
                <c:pt idx="3">
                  <c:v>2998.99</c:v>
                </c:pt>
              </c:numCache>
            </c:numRef>
          </c:yVal>
          <c:smooth val="1"/>
          <c:extLst>
            <c:ext xmlns:c16="http://schemas.microsoft.com/office/drawing/2014/chart" uri="{C3380CC4-5D6E-409C-BE32-E72D297353CC}">
              <c16:uniqueId val="{00000008-DD81-8847-A9D0-5AB565C94853}"/>
            </c:ext>
          </c:extLst>
        </c:ser>
        <c:ser>
          <c:idx val="9"/>
          <c:order val="9"/>
          <c:tx>
            <c:strRef>
              <c:f>"NC+F - P_side"</c:f>
              <c:strCache>
                <c:ptCount val="1"/>
                <c:pt idx="0">
                  <c:v>NC+F - P_side</c:v>
                </c:pt>
              </c:strCache>
            </c:strRef>
          </c:tx>
          <c:spPr>
            <a:ln w="9525" cap="rnd">
              <a:solidFill>
                <a:schemeClr val="accent4">
                  <a:tint val="76667"/>
                  <a:alpha val="50000"/>
                </a:schemeClr>
              </a:solidFill>
              <a:round/>
            </a:ln>
            <a:effectLst/>
          </c:spPr>
          <c:marker>
            <c:symbol val="diamond"/>
            <c:size val="6"/>
            <c:spPr>
              <a:solidFill>
                <a:schemeClr val="lt1"/>
              </a:solidFill>
              <a:ln w="15875">
                <a:solidFill>
                  <a:schemeClr val="accent4">
                    <a:tint val="76667"/>
                  </a:schemeClr>
                </a:solidFill>
                <a:round/>
              </a:ln>
              <a:effectLst/>
            </c:spPr>
          </c:marker>
          <c:xVal>
            <c:numRef>
              <c:f>[wave_speed_combined_chart.xlsx]P_Wave_Data!$B$22:$B$25</c:f>
              <c:numCache>
                <c:formatCode>General</c:formatCode>
                <c:ptCount val="4"/>
                <c:pt idx="0">
                  <c:v>-1</c:v>
                </c:pt>
                <c:pt idx="1">
                  <c:v>0</c:v>
                </c:pt>
                <c:pt idx="2">
                  <c:v>4</c:v>
                </c:pt>
                <c:pt idx="3">
                  <c:v>8</c:v>
                </c:pt>
              </c:numCache>
            </c:numRef>
          </c:xVal>
          <c:yVal>
            <c:numRef>
              <c:f>[wave_speed_combined_chart.xlsx]P_Wave_Data!$D$22:$D$25</c:f>
              <c:numCache>
                <c:formatCode>General</c:formatCode>
                <c:ptCount val="4"/>
                <c:pt idx="0">
                  <c:v>1526.83</c:v>
                </c:pt>
                <c:pt idx="1">
                  <c:v>1002.73</c:v>
                </c:pt>
                <c:pt idx="2">
                  <c:v>1214.3900000000001</c:v>
                </c:pt>
                <c:pt idx="3">
                  <c:v>1408.17</c:v>
                </c:pt>
              </c:numCache>
            </c:numRef>
          </c:yVal>
          <c:smooth val="1"/>
          <c:extLst>
            <c:ext xmlns:c16="http://schemas.microsoft.com/office/drawing/2014/chart" uri="{C3380CC4-5D6E-409C-BE32-E72D297353CC}">
              <c16:uniqueId val="{00000009-DD81-8847-A9D0-5AB565C94853}"/>
            </c:ext>
          </c:extLst>
        </c:ser>
        <c:dLbls>
          <c:showLegendKey val="0"/>
          <c:showVal val="0"/>
          <c:showCatName val="0"/>
          <c:showSerName val="0"/>
          <c:showPercent val="0"/>
          <c:showBubbleSize val="0"/>
        </c:dLbls>
        <c:axId val="50010001"/>
        <c:axId val="50010002"/>
      </c:scatterChart>
      <c:valAx>
        <c:axId val="50010001"/>
        <c:scaling>
          <c:orientation val="minMax"/>
          <c:max val="16"/>
          <c:min val="-1"/>
        </c:scaling>
        <c:delete val="0"/>
        <c:axPos val="b"/>
        <c:majorGridlines>
          <c:spPr>
            <a:ln w="9525" cap="flat" cmpd="sng" algn="ctr">
              <a:solidFill>
                <a:schemeClr val="dk1">
                  <a:lumMod val="15000"/>
                  <a:lumOff val="85000"/>
                </a:schemeClr>
              </a:solidFill>
              <a:round/>
            </a:ln>
            <a:effectLst/>
          </c:spPr>
        </c:majorGridlines>
        <c:title>
          <c:tx>
            <c:rich>
              <a:bodyPr rot="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Days</a:t>
                </a:r>
              </a:p>
            </c:rich>
          </c:tx>
          <c:overlay val="0"/>
          <c:spPr>
            <a:noFill/>
            <a:ln>
              <a:noFill/>
            </a:ln>
            <a:effectLst/>
          </c:spPr>
          <c:txPr>
            <a:bodyPr rot="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alpha val="54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50010002"/>
        <c:crosses val="autoZero"/>
        <c:crossBetween val="midCat"/>
      </c:valAx>
      <c:valAx>
        <c:axId val="5001000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Speed (m/s)</a:t>
                </a:r>
              </a:p>
            </c:rich>
          </c:tx>
          <c:layout>
            <c:manualLayout>
              <c:xMode val="edge"/>
              <c:yMode val="edge"/>
              <c:x val="1.8246589625510502E-2"/>
              <c:y val="0.29792005787664999"/>
            </c:manualLayout>
          </c:layout>
          <c:overlay val="0"/>
          <c:spPr>
            <a:noFill/>
            <a:ln>
              <a:noFill/>
            </a:ln>
            <a:effectLst/>
          </c:spPr>
          <c:txPr>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alpha val="54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50010001"/>
        <c:crossesAt val="-1"/>
        <c:crossBetween val="midCat"/>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r>
              <a:rPr lang="en-US"/>
              <a:t>S-Wave Speed (Height vs Side)</a:t>
            </a:r>
          </a:p>
        </c:rich>
      </c:tx>
      <c:overlay val="0"/>
      <c:spPr>
        <a:noFill/>
        <a:ln>
          <a:noFill/>
        </a:ln>
        <a:effectLst/>
      </c:spPr>
      <c:txPr>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scatterChart>
        <c:scatterStyle val="smoothMarker"/>
        <c:varyColors val="0"/>
        <c:ser>
          <c:idx val="0"/>
          <c:order val="0"/>
          <c:tx>
            <c:strRef>
              <c:f>"control - S_height"</c:f>
              <c:strCache>
                <c:ptCount val="1"/>
                <c:pt idx="0">
                  <c:v>control - S_height</c:v>
                </c:pt>
              </c:strCache>
            </c:strRef>
          </c:tx>
          <c:spPr>
            <a:ln w="9525" cap="rnd">
              <a:solidFill>
                <a:schemeClr val="accent1">
                  <a:shade val="76667"/>
                  <a:alpha val="50000"/>
                </a:schemeClr>
              </a:solidFill>
              <a:round/>
            </a:ln>
            <a:effectLst/>
          </c:spPr>
          <c:marker>
            <c:symbol val="diamond"/>
            <c:size val="6"/>
            <c:spPr>
              <a:solidFill>
                <a:schemeClr val="lt1"/>
              </a:solidFill>
              <a:ln w="15875">
                <a:solidFill>
                  <a:schemeClr val="accent1">
                    <a:shade val="76667"/>
                  </a:schemeClr>
                </a:solidFill>
                <a:round/>
              </a:ln>
              <a:effectLst/>
            </c:spPr>
          </c:marker>
          <c:xVal>
            <c:numRef>
              <c:f>[wave_speed_combined_chart.xlsx]S_Wave_Data!$B$2:$B$6</c:f>
              <c:numCache>
                <c:formatCode>General</c:formatCode>
                <c:ptCount val="5"/>
                <c:pt idx="0">
                  <c:v>-1</c:v>
                </c:pt>
                <c:pt idx="1">
                  <c:v>0</c:v>
                </c:pt>
                <c:pt idx="2">
                  <c:v>4</c:v>
                </c:pt>
                <c:pt idx="3">
                  <c:v>12</c:v>
                </c:pt>
                <c:pt idx="4">
                  <c:v>16</c:v>
                </c:pt>
              </c:numCache>
            </c:numRef>
          </c:xVal>
          <c:yVal>
            <c:numRef>
              <c:f>[wave_speed_combined_chart.xlsx]S_Wave_Data!$C$2:$C$6</c:f>
              <c:numCache>
                <c:formatCode>General</c:formatCode>
                <c:ptCount val="5"/>
                <c:pt idx="0">
                  <c:v>1108.44</c:v>
                </c:pt>
                <c:pt idx="1">
                  <c:v>1210.96</c:v>
                </c:pt>
                <c:pt idx="2">
                  <c:v>694.52</c:v>
                </c:pt>
                <c:pt idx="3">
                  <c:v>1122.74</c:v>
                </c:pt>
                <c:pt idx="4">
                  <c:v>1193.21</c:v>
                </c:pt>
              </c:numCache>
            </c:numRef>
          </c:yVal>
          <c:smooth val="1"/>
          <c:extLst>
            <c:ext xmlns:c16="http://schemas.microsoft.com/office/drawing/2014/chart" uri="{C3380CC4-5D6E-409C-BE32-E72D297353CC}">
              <c16:uniqueId val="{00000000-CF37-944F-90B5-4F1695EBC889}"/>
            </c:ext>
          </c:extLst>
        </c:ser>
        <c:ser>
          <c:idx val="1"/>
          <c:order val="1"/>
          <c:tx>
            <c:strRef>
              <c:f>"control - S_side"</c:f>
              <c:strCache>
                <c:ptCount val="1"/>
                <c:pt idx="0">
                  <c:v>control - S_side</c:v>
                </c:pt>
              </c:strCache>
            </c:strRef>
          </c:tx>
          <c:spPr>
            <a:ln w="9525" cap="rnd">
              <a:solidFill>
                <a:schemeClr val="accent2">
                  <a:shade val="76667"/>
                  <a:alpha val="50000"/>
                </a:schemeClr>
              </a:solidFill>
              <a:round/>
            </a:ln>
            <a:effectLst/>
          </c:spPr>
          <c:marker>
            <c:symbol val="square"/>
            <c:size val="6"/>
            <c:spPr>
              <a:solidFill>
                <a:schemeClr val="lt1"/>
              </a:solidFill>
              <a:ln w="15875">
                <a:solidFill>
                  <a:schemeClr val="accent2">
                    <a:shade val="76667"/>
                  </a:schemeClr>
                </a:solidFill>
                <a:round/>
              </a:ln>
              <a:effectLst/>
            </c:spPr>
          </c:marker>
          <c:xVal>
            <c:numRef>
              <c:f>[wave_speed_combined_chart.xlsx]S_Wave_Data!$B$2:$B$6</c:f>
              <c:numCache>
                <c:formatCode>General</c:formatCode>
                <c:ptCount val="5"/>
                <c:pt idx="0">
                  <c:v>-1</c:v>
                </c:pt>
                <c:pt idx="1">
                  <c:v>0</c:v>
                </c:pt>
                <c:pt idx="2">
                  <c:v>4</c:v>
                </c:pt>
                <c:pt idx="3">
                  <c:v>12</c:v>
                </c:pt>
                <c:pt idx="4">
                  <c:v>16</c:v>
                </c:pt>
              </c:numCache>
            </c:numRef>
          </c:xVal>
          <c:yVal>
            <c:numRef>
              <c:f>[wave_speed_combined_chart.xlsx]S_Wave_Data!$D$2:$D$6</c:f>
              <c:numCache>
                <c:formatCode>General</c:formatCode>
                <c:ptCount val="5"/>
                <c:pt idx="0">
                  <c:v>868.49</c:v>
                </c:pt>
                <c:pt idx="1">
                  <c:v>236.74</c:v>
                </c:pt>
                <c:pt idx="2">
                  <c:v>249.84</c:v>
                </c:pt>
                <c:pt idx="3">
                  <c:v>347.94</c:v>
                </c:pt>
                <c:pt idx="4">
                  <c:v>371.88</c:v>
                </c:pt>
              </c:numCache>
            </c:numRef>
          </c:yVal>
          <c:smooth val="1"/>
          <c:extLst>
            <c:ext xmlns:c16="http://schemas.microsoft.com/office/drawing/2014/chart" uri="{C3380CC4-5D6E-409C-BE32-E72D297353CC}">
              <c16:uniqueId val="{00000001-CF37-944F-90B5-4F1695EBC889}"/>
            </c:ext>
          </c:extLst>
        </c:ser>
        <c:ser>
          <c:idx val="2"/>
          <c:order val="2"/>
          <c:tx>
            <c:strRef>
              <c:f>"SP - S_height"</c:f>
              <c:strCache>
                <c:ptCount val="1"/>
                <c:pt idx="0">
                  <c:v>SP - S_height</c:v>
                </c:pt>
              </c:strCache>
            </c:strRef>
          </c:tx>
          <c:spPr>
            <a:ln w="9525" cap="rnd">
              <a:solidFill>
                <a:schemeClr val="accent3">
                  <a:shade val="76667"/>
                  <a:alpha val="50000"/>
                </a:schemeClr>
              </a:solidFill>
              <a:round/>
            </a:ln>
            <a:effectLst/>
          </c:spPr>
          <c:marker>
            <c:symbol val="triangle"/>
            <c:size val="6"/>
            <c:spPr>
              <a:solidFill>
                <a:schemeClr val="lt1"/>
              </a:solidFill>
              <a:ln w="15875">
                <a:solidFill>
                  <a:schemeClr val="accent3">
                    <a:shade val="76667"/>
                  </a:schemeClr>
                </a:solidFill>
                <a:round/>
              </a:ln>
              <a:effectLst/>
            </c:spPr>
          </c:marker>
          <c:xVal>
            <c:numRef>
              <c:f>[wave_speed_combined_chart.xlsx]S_Wave_Data!$B$7:$B$11</c:f>
              <c:numCache>
                <c:formatCode>General</c:formatCode>
                <c:ptCount val="5"/>
                <c:pt idx="0">
                  <c:v>-1</c:v>
                </c:pt>
                <c:pt idx="1">
                  <c:v>0</c:v>
                </c:pt>
                <c:pt idx="2">
                  <c:v>4</c:v>
                </c:pt>
                <c:pt idx="3">
                  <c:v>12</c:v>
                </c:pt>
                <c:pt idx="4">
                  <c:v>16</c:v>
                </c:pt>
              </c:numCache>
            </c:numRef>
          </c:xVal>
          <c:yVal>
            <c:numRef>
              <c:f>[wave_speed_combined_chart.xlsx]S_Wave_Data!$C$7:$C$11</c:f>
              <c:numCache>
                <c:formatCode>General</c:formatCode>
                <c:ptCount val="5"/>
                <c:pt idx="0">
                  <c:v>1266.6300000000001</c:v>
                </c:pt>
                <c:pt idx="1">
                  <c:v>1214.8800000000001</c:v>
                </c:pt>
                <c:pt idx="2">
                  <c:v>684.54</c:v>
                </c:pt>
                <c:pt idx="3">
                  <c:v>1026.24</c:v>
                </c:pt>
                <c:pt idx="4">
                  <c:v>1061.1300000000001</c:v>
                </c:pt>
              </c:numCache>
            </c:numRef>
          </c:yVal>
          <c:smooth val="1"/>
          <c:extLst>
            <c:ext xmlns:c16="http://schemas.microsoft.com/office/drawing/2014/chart" uri="{C3380CC4-5D6E-409C-BE32-E72D297353CC}">
              <c16:uniqueId val="{00000002-CF37-944F-90B5-4F1695EBC889}"/>
            </c:ext>
          </c:extLst>
        </c:ser>
        <c:ser>
          <c:idx val="3"/>
          <c:order val="3"/>
          <c:tx>
            <c:strRef>
              <c:f>"SP - S_side"</c:f>
              <c:strCache>
                <c:ptCount val="1"/>
                <c:pt idx="0">
                  <c:v>SP - S_side</c:v>
                </c:pt>
              </c:strCache>
            </c:strRef>
          </c:tx>
          <c:spPr>
            <a:ln w="9525" cap="rnd">
              <a:solidFill>
                <a:schemeClr val="accent4">
                  <a:shade val="76667"/>
                  <a:alpha val="50000"/>
                </a:schemeClr>
              </a:solidFill>
              <a:round/>
            </a:ln>
            <a:effectLst/>
          </c:spPr>
          <c:marker>
            <c:symbol val="x"/>
            <c:size val="6"/>
            <c:spPr>
              <a:noFill/>
              <a:ln w="15875">
                <a:solidFill>
                  <a:schemeClr val="accent4">
                    <a:shade val="76667"/>
                  </a:schemeClr>
                </a:solidFill>
                <a:round/>
              </a:ln>
              <a:effectLst/>
            </c:spPr>
          </c:marker>
          <c:xVal>
            <c:numRef>
              <c:f>[wave_speed_combined_chart.xlsx]S_Wave_Data!$B$7:$B$11</c:f>
              <c:numCache>
                <c:formatCode>General</c:formatCode>
                <c:ptCount val="5"/>
                <c:pt idx="0">
                  <c:v>-1</c:v>
                </c:pt>
                <c:pt idx="1">
                  <c:v>0</c:v>
                </c:pt>
                <c:pt idx="2">
                  <c:v>4</c:v>
                </c:pt>
                <c:pt idx="3">
                  <c:v>12</c:v>
                </c:pt>
                <c:pt idx="4">
                  <c:v>16</c:v>
                </c:pt>
              </c:numCache>
            </c:numRef>
          </c:xVal>
          <c:yVal>
            <c:numRef>
              <c:f>[wave_speed_combined_chart.xlsx]S_Wave_Data!$D$7:$D$11</c:f>
              <c:numCache>
                <c:formatCode>General</c:formatCode>
                <c:ptCount val="5"/>
                <c:pt idx="0">
                  <c:v>886.9</c:v>
                </c:pt>
                <c:pt idx="1">
                  <c:v>324.79000000000002</c:v>
                </c:pt>
                <c:pt idx="2">
                  <c:v>335.69</c:v>
                </c:pt>
                <c:pt idx="3">
                  <c:v>490.36</c:v>
                </c:pt>
                <c:pt idx="4">
                  <c:v>544.51</c:v>
                </c:pt>
              </c:numCache>
            </c:numRef>
          </c:yVal>
          <c:smooth val="1"/>
          <c:extLst>
            <c:ext xmlns:c16="http://schemas.microsoft.com/office/drawing/2014/chart" uri="{C3380CC4-5D6E-409C-BE32-E72D297353CC}">
              <c16:uniqueId val="{00000003-CF37-944F-90B5-4F1695EBC889}"/>
            </c:ext>
          </c:extLst>
        </c:ser>
        <c:ser>
          <c:idx val="4"/>
          <c:order val="4"/>
          <c:tx>
            <c:strRef>
              <c:f>"SP+F - S_height"</c:f>
              <c:strCache>
                <c:ptCount val="1"/>
                <c:pt idx="0">
                  <c:v>SP+F - S_height</c:v>
                </c:pt>
              </c:strCache>
            </c:strRef>
          </c:tx>
          <c:spPr>
            <a:ln w="9525" cap="rnd">
              <a:solidFill>
                <a:schemeClr val="accent5">
                  <a:shade val="76667"/>
                  <a:alpha val="50000"/>
                </a:schemeClr>
              </a:solidFill>
              <a:round/>
            </a:ln>
            <a:effectLst/>
          </c:spPr>
          <c:marker>
            <c:symbol val="star"/>
            <c:size val="6"/>
            <c:spPr>
              <a:noFill/>
              <a:ln w="15875">
                <a:solidFill>
                  <a:schemeClr val="accent5">
                    <a:shade val="76667"/>
                  </a:schemeClr>
                </a:solidFill>
                <a:round/>
              </a:ln>
              <a:effectLst/>
            </c:spPr>
          </c:marker>
          <c:xVal>
            <c:numRef>
              <c:f>[wave_speed_combined_chart.xlsx]S_Wave_Data!$B$12:$B$16</c:f>
              <c:numCache>
                <c:formatCode>General</c:formatCode>
                <c:ptCount val="5"/>
                <c:pt idx="0">
                  <c:v>-1</c:v>
                </c:pt>
                <c:pt idx="1">
                  <c:v>0</c:v>
                </c:pt>
                <c:pt idx="2">
                  <c:v>4</c:v>
                </c:pt>
                <c:pt idx="3">
                  <c:v>12</c:v>
                </c:pt>
                <c:pt idx="4">
                  <c:v>16</c:v>
                </c:pt>
              </c:numCache>
            </c:numRef>
          </c:xVal>
          <c:yVal>
            <c:numRef>
              <c:f>[wave_speed_combined_chart.xlsx]S_Wave_Data!$C$12:$C$16</c:f>
              <c:numCache>
                <c:formatCode>General</c:formatCode>
                <c:ptCount val="5"/>
                <c:pt idx="0">
                  <c:v>986.74</c:v>
                </c:pt>
                <c:pt idx="1">
                  <c:v>1176.5999999999999</c:v>
                </c:pt>
                <c:pt idx="2">
                  <c:v>959.09</c:v>
                </c:pt>
                <c:pt idx="3">
                  <c:v>1045.3800000000001</c:v>
                </c:pt>
                <c:pt idx="4">
                  <c:v>1072.4100000000001</c:v>
                </c:pt>
              </c:numCache>
            </c:numRef>
          </c:yVal>
          <c:smooth val="1"/>
          <c:extLst>
            <c:ext xmlns:c16="http://schemas.microsoft.com/office/drawing/2014/chart" uri="{C3380CC4-5D6E-409C-BE32-E72D297353CC}">
              <c16:uniqueId val="{00000004-CF37-944F-90B5-4F1695EBC889}"/>
            </c:ext>
          </c:extLst>
        </c:ser>
        <c:ser>
          <c:idx val="5"/>
          <c:order val="5"/>
          <c:tx>
            <c:strRef>
              <c:f>"SP+F - S_side"</c:f>
              <c:strCache>
                <c:ptCount val="1"/>
                <c:pt idx="0">
                  <c:v>SP+F - S_side</c:v>
                </c:pt>
              </c:strCache>
            </c:strRef>
          </c:tx>
          <c:spPr>
            <a:ln w="9525" cap="rnd">
              <a:solidFill>
                <a:schemeClr val="accent6">
                  <a:shade val="76667"/>
                  <a:alpha val="50000"/>
                </a:schemeClr>
              </a:solidFill>
              <a:round/>
            </a:ln>
            <a:effectLst/>
          </c:spPr>
          <c:marker>
            <c:symbol val="circle"/>
            <c:size val="6"/>
            <c:spPr>
              <a:solidFill>
                <a:schemeClr val="lt1"/>
              </a:solidFill>
              <a:ln w="15875">
                <a:solidFill>
                  <a:schemeClr val="accent6">
                    <a:shade val="76667"/>
                  </a:schemeClr>
                </a:solidFill>
                <a:round/>
              </a:ln>
              <a:effectLst/>
            </c:spPr>
          </c:marker>
          <c:xVal>
            <c:numRef>
              <c:f>[wave_speed_combined_chart.xlsx]S_Wave_Data!$B$12:$B$16</c:f>
              <c:numCache>
                <c:formatCode>General</c:formatCode>
                <c:ptCount val="5"/>
                <c:pt idx="0">
                  <c:v>-1</c:v>
                </c:pt>
                <c:pt idx="1">
                  <c:v>0</c:v>
                </c:pt>
                <c:pt idx="2">
                  <c:v>4</c:v>
                </c:pt>
                <c:pt idx="3">
                  <c:v>12</c:v>
                </c:pt>
                <c:pt idx="4">
                  <c:v>16</c:v>
                </c:pt>
              </c:numCache>
            </c:numRef>
          </c:xVal>
          <c:yVal>
            <c:numRef>
              <c:f>[wave_speed_combined_chart.xlsx]S_Wave_Data!$D$12:$D$16</c:f>
              <c:numCache>
                <c:formatCode>General</c:formatCode>
                <c:ptCount val="5"/>
                <c:pt idx="0">
                  <c:v>795.26</c:v>
                </c:pt>
                <c:pt idx="1">
                  <c:v>426.96</c:v>
                </c:pt>
                <c:pt idx="2">
                  <c:v>458.45</c:v>
                </c:pt>
                <c:pt idx="3">
                  <c:v>464.15</c:v>
                </c:pt>
                <c:pt idx="4">
                  <c:v>565.54999999999995</c:v>
                </c:pt>
              </c:numCache>
            </c:numRef>
          </c:yVal>
          <c:smooth val="1"/>
          <c:extLst>
            <c:ext xmlns:c16="http://schemas.microsoft.com/office/drawing/2014/chart" uri="{C3380CC4-5D6E-409C-BE32-E72D297353CC}">
              <c16:uniqueId val="{00000005-CF37-944F-90B5-4F1695EBC889}"/>
            </c:ext>
          </c:extLst>
        </c:ser>
        <c:ser>
          <c:idx val="6"/>
          <c:order val="6"/>
          <c:tx>
            <c:strRef>
              <c:f>"AN+F - S_height"</c:f>
              <c:strCache>
                <c:ptCount val="1"/>
                <c:pt idx="0">
                  <c:v>AN+F - S_height</c:v>
                </c:pt>
              </c:strCache>
            </c:strRef>
          </c:tx>
          <c:spPr>
            <a:ln w="9525" cap="rnd">
              <a:solidFill>
                <a:schemeClr val="accent1">
                  <a:tint val="76667"/>
                  <a:alpha val="50000"/>
                </a:schemeClr>
              </a:solidFill>
              <a:round/>
            </a:ln>
            <a:effectLst/>
          </c:spPr>
          <c:marker>
            <c:symbol val="plus"/>
            <c:size val="6"/>
            <c:spPr>
              <a:noFill/>
              <a:ln w="15875">
                <a:solidFill>
                  <a:schemeClr val="accent1">
                    <a:tint val="76667"/>
                  </a:schemeClr>
                </a:solidFill>
                <a:round/>
              </a:ln>
              <a:effectLst/>
            </c:spPr>
          </c:marker>
          <c:xVal>
            <c:numRef>
              <c:f>[wave_speed_combined_chart.xlsx]S_Wave_Data!$B$17:$B$21</c:f>
              <c:numCache>
                <c:formatCode>General</c:formatCode>
                <c:ptCount val="5"/>
                <c:pt idx="0">
                  <c:v>-1</c:v>
                </c:pt>
                <c:pt idx="1">
                  <c:v>0</c:v>
                </c:pt>
                <c:pt idx="2">
                  <c:v>4</c:v>
                </c:pt>
                <c:pt idx="3">
                  <c:v>12</c:v>
                </c:pt>
                <c:pt idx="4">
                  <c:v>16</c:v>
                </c:pt>
              </c:numCache>
            </c:numRef>
          </c:xVal>
          <c:yVal>
            <c:numRef>
              <c:f>[wave_speed_combined_chart.xlsx]S_Wave_Data!$C$17:$C$21</c:f>
              <c:numCache>
                <c:formatCode>General</c:formatCode>
                <c:ptCount val="5"/>
                <c:pt idx="0">
                  <c:v>1103.74</c:v>
                </c:pt>
                <c:pt idx="1">
                  <c:v>1197.74</c:v>
                </c:pt>
                <c:pt idx="2">
                  <c:v>672.45</c:v>
                </c:pt>
                <c:pt idx="3">
                  <c:v>1113.04</c:v>
                </c:pt>
                <c:pt idx="4">
                  <c:v>1152.31</c:v>
                </c:pt>
              </c:numCache>
            </c:numRef>
          </c:yVal>
          <c:smooth val="1"/>
          <c:extLst>
            <c:ext xmlns:c16="http://schemas.microsoft.com/office/drawing/2014/chart" uri="{C3380CC4-5D6E-409C-BE32-E72D297353CC}">
              <c16:uniqueId val="{00000006-CF37-944F-90B5-4F1695EBC889}"/>
            </c:ext>
          </c:extLst>
        </c:ser>
        <c:ser>
          <c:idx val="7"/>
          <c:order val="7"/>
          <c:tx>
            <c:strRef>
              <c:f>"AN+F - S_side"</c:f>
              <c:strCache>
                <c:ptCount val="1"/>
                <c:pt idx="0">
                  <c:v>AN+F - S_side</c:v>
                </c:pt>
              </c:strCache>
            </c:strRef>
          </c:tx>
          <c:spPr>
            <a:ln w="9525" cap="rnd">
              <a:solidFill>
                <a:schemeClr val="accent2">
                  <a:tint val="76667"/>
                  <a:alpha val="50000"/>
                </a:schemeClr>
              </a:solidFill>
              <a:round/>
            </a:ln>
            <a:effectLst/>
          </c:spPr>
          <c:marker>
            <c:symbol val="dot"/>
            <c:size val="6"/>
            <c:spPr>
              <a:solidFill>
                <a:schemeClr val="lt1"/>
              </a:solidFill>
              <a:ln w="15875">
                <a:solidFill>
                  <a:schemeClr val="accent2">
                    <a:tint val="76667"/>
                  </a:schemeClr>
                </a:solidFill>
                <a:round/>
              </a:ln>
              <a:effectLst/>
            </c:spPr>
          </c:marker>
          <c:xVal>
            <c:numRef>
              <c:f>[wave_speed_combined_chart.xlsx]S_Wave_Data!$B$17:$B$21</c:f>
              <c:numCache>
                <c:formatCode>General</c:formatCode>
                <c:ptCount val="5"/>
                <c:pt idx="0">
                  <c:v>-1</c:v>
                </c:pt>
                <c:pt idx="1">
                  <c:v>0</c:v>
                </c:pt>
                <c:pt idx="2">
                  <c:v>4</c:v>
                </c:pt>
                <c:pt idx="3">
                  <c:v>12</c:v>
                </c:pt>
                <c:pt idx="4">
                  <c:v>16</c:v>
                </c:pt>
              </c:numCache>
            </c:numRef>
          </c:xVal>
          <c:yVal>
            <c:numRef>
              <c:f>[wave_speed_combined_chart.xlsx]S_Wave_Data!$D$17:$D$21</c:f>
              <c:numCache>
                <c:formatCode>General</c:formatCode>
                <c:ptCount val="5"/>
                <c:pt idx="0">
                  <c:v>982.15</c:v>
                </c:pt>
                <c:pt idx="1">
                  <c:v>343.29</c:v>
                </c:pt>
                <c:pt idx="2">
                  <c:v>275.16000000000003</c:v>
                </c:pt>
                <c:pt idx="3">
                  <c:v>374.88</c:v>
                </c:pt>
                <c:pt idx="4">
                  <c:v>419.77</c:v>
                </c:pt>
              </c:numCache>
            </c:numRef>
          </c:yVal>
          <c:smooth val="1"/>
          <c:extLst>
            <c:ext xmlns:c16="http://schemas.microsoft.com/office/drawing/2014/chart" uri="{C3380CC4-5D6E-409C-BE32-E72D297353CC}">
              <c16:uniqueId val="{00000007-CF37-944F-90B5-4F1695EBC889}"/>
            </c:ext>
          </c:extLst>
        </c:ser>
        <c:ser>
          <c:idx val="8"/>
          <c:order val="8"/>
          <c:tx>
            <c:strRef>
              <c:f>"NC+F - S_height"</c:f>
              <c:strCache>
                <c:ptCount val="1"/>
                <c:pt idx="0">
                  <c:v>NC+F - S_height</c:v>
                </c:pt>
              </c:strCache>
            </c:strRef>
          </c:tx>
          <c:spPr>
            <a:ln w="9525" cap="rnd">
              <a:solidFill>
                <a:schemeClr val="accent3">
                  <a:tint val="76667"/>
                  <a:alpha val="50000"/>
                </a:schemeClr>
              </a:solidFill>
              <a:round/>
            </a:ln>
            <a:effectLst/>
          </c:spPr>
          <c:marker>
            <c:symbol val="dash"/>
            <c:size val="6"/>
            <c:spPr>
              <a:solidFill>
                <a:schemeClr val="lt1"/>
              </a:solidFill>
              <a:ln w="15875">
                <a:solidFill>
                  <a:schemeClr val="accent3">
                    <a:tint val="76667"/>
                  </a:schemeClr>
                </a:solidFill>
                <a:round/>
              </a:ln>
              <a:effectLst/>
            </c:spPr>
          </c:marker>
          <c:xVal>
            <c:numRef>
              <c:f>[wave_speed_combined_chart.xlsx]S_Wave_Data!$B$22:$B$25</c:f>
              <c:numCache>
                <c:formatCode>General</c:formatCode>
                <c:ptCount val="4"/>
                <c:pt idx="0">
                  <c:v>-1</c:v>
                </c:pt>
                <c:pt idx="1">
                  <c:v>0</c:v>
                </c:pt>
                <c:pt idx="2">
                  <c:v>4</c:v>
                </c:pt>
                <c:pt idx="3">
                  <c:v>8</c:v>
                </c:pt>
              </c:numCache>
            </c:numRef>
          </c:xVal>
          <c:yVal>
            <c:numRef>
              <c:f>[wave_speed_combined_chart.xlsx]S_Wave_Data!$C$22:$C$25</c:f>
              <c:numCache>
                <c:formatCode>General</c:formatCode>
                <c:ptCount val="4"/>
                <c:pt idx="0">
                  <c:v>1290.25</c:v>
                </c:pt>
                <c:pt idx="1">
                  <c:v>994.4</c:v>
                </c:pt>
                <c:pt idx="2">
                  <c:v>1060.3800000000001</c:v>
                </c:pt>
                <c:pt idx="3">
                  <c:v>1143.95</c:v>
                </c:pt>
              </c:numCache>
            </c:numRef>
          </c:yVal>
          <c:smooth val="1"/>
          <c:extLst>
            <c:ext xmlns:c16="http://schemas.microsoft.com/office/drawing/2014/chart" uri="{C3380CC4-5D6E-409C-BE32-E72D297353CC}">
              <c16:uniqueId val="{00000008-CF37-944F-90B5-4F1695EBC889}"/>
            </c:ext>
          </c:extLst>
        </c:ser>
        <c:ser>
          <c:idx val="9"/>
          <c:order val="9"/>
          <c:tx>
            <c:strRef>
              <c:f>"NC+F - S_side"</c:f>
              <c:strCache>
                <c:ptCount val="1"/>
                <c:pt idx="0">
                  <c:v>NC+F - S_side</c:v>
                </c:pt>
              </c:strCache>
            </c:strRef>
          </c:tx>
          <c:spPr>
            <a:ln w="9525" cap="rnd">
              <a:solidFill>
                <a:schemeClr val="accent4">
                  <a:tint val="76667"/>
                  <a:alpha val="50000"/>
                </a:schemeClr>
              </a:solidFill>
              <a:round/>
            </a:ln>
            <a:effectLst/>
          </c:spPr>
          <c:marker>
            <c:symbol val="diamond"/>
            <c:size val="6"/>
            <c:spPr>
              <a:solidFill>
                <a:schemeClr val="lt1"/>
              </a:solidFill>
              <a:ln w="15875">
                <a:solidFill>
                  <a:schemeClr val="accent4">
                    <a:tint val="76667"/>
                  </a:schemeClr>
                </a:solidFill>
                <a:round/>
              </a:ln>
              <a:effectLst/>
            </c:spPr>
          </c:marker>
          <c:xVal>
            <c:numRef>
              <c:f>[wave_speed_combined_chart.xlsx]S_Wave_Data!$B$22:$B$25</c:f>
              <c:numCache>
                <c:formatCode>General</c:formatCode>
                <c:ptCount val="4"/>
                <c:pt idx="0">
                  <c:v>-1</c:v>
                </c:pt>
                <c:pt idx="1">
                  <c:v>0</c:v>
                </c:pt>
                <c:pt idx="2">
                  <c:v>4</c:v>
                </c:pt>
                <c:pt idx="3">
                  <c:v>8</c:v>
                </c:pt>
              </c:numCache>
            </c:numRef>
          </c:xVal>
          <c:yVal>
            <c:numRef>
              <c:f>[wave_speed_combined_chart.xlsx]S_Wave_Data!$D$22:$D$25</c:f>
              <c:numCache>
                <c:formatCode>General</c:formatCode>
                <c:ptCount val="4"/>
                <c:pt idx="0">
                  <c:v>993.92</c:v>
                </c:pt>
                <c:pt idx="1">
                  <c:v>313.64</c:v>
                </c:pt>
                <c:pt idx="2">
                  <c:v>395.66</c:v>
                </c:pt>
                <c:pt idx="3">
                  <c:v>406.93</c:v>
                </c:pt>
              </c:numCache>
            </c:numRef>
          </c:yVal>
          <c:smooth val="1"/>
          <c:extLst>
            <c:ext xmlns:c16="http://schemas.microsoft.com/office/drawing/2014/chart" uri="{C3380CC4-5D6E-409C-BE32-E72D297353CC}">
              <c16:uniqueId val="{00000009-CF37-944F-90B5-4F1695EBC889}"/>
            </c:ext>
          </c:extLst>
        </c:ser>
        <c:dLbls>
          <c:showLegendKey val="0"/>
          <c:showVal val="0"/>
          <c:showCatName val="0"/>
          <c:showSerName val="0"/>
          <c:showPercent val="0"/>
          <c:showBubbleSize val="0"/>
        </c:dLbls>
        <c:axId val="50020001"/>
        <c:axId val="50020002"/>
      </c:scatterChart>
      <c:valAx>
        <c:axId val="50020001"/>
        <c:scaling>
          <c:orientation val="minMax"/>
          <c:max val="16"/>
          <c:min val="-1"/>
        </c:scaling>
        <c:delete val="0"/>
        <c:axPos val="b"/>
        <c:majorGridlines>
          <c:spPr>
            <a:ln w="9525" cap="flat" cmpd="sng" algn="ctr">
              <a:solidFill>
                <a:schemeClr val="dk1">
                  <a:lumMod val="15000"/>
                  <a:lumOff val="85000"/>
                </a:schemeClr>
              </a:solidFill>
              <a:round/>
            </a:ln>
            <a:effectLst/>
          </c:spPr>
        </c:majorGridlines>
        <c:title>
          <c:tx>
            <c:rich>
              <a:bodyPr rot="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Days</a:t>
                </a:r>
              </a:p>
            </c:rich>
          </c:tx>
          <c:overlay val="0"/>
          <c:spPr>
            <a:noFill/>
            <a:ln>
              <a:noFill/>
            </a:ln>
            <a:effectLst/>
          </c:spPr>
          <c:txPr>
            <a:bodyPr rot="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alpha val="54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50020002"/>
        <c:crossesAt val="0"/>
        <c:crossBetween val="midCat"/>
      </c:valAx>
      <c:valAx>
        <c:axId val="5002000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Speed (mm/µs)</a:t>
                </a:r>
              </a:p>
            </c:rich>
          </c:tx>
          <c:overlay val="0"/>
          <c:spPr>
            <a:noFill/>
            <a:ln>
              <a:noFill/>
            </a:ln>
            <a:effectLst/>
          </c:spPr>
          <c:txPr>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alpha val="54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50020001"/>
        <c:crossesAt val="-1"/>
        <c:crossBetween val="midCat"/>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r>
              <a:rPr lang="en-US"/>
              <a:t>Water Absorption Rate </a:t>
            </a:r>
          </a:p>
        </c:rich>
      </c:tx>
      <c:overlay val="0"/>
      <c:spPr>
        <a:noFill/>
        <a:ln>
          <a:noFill/>
        </a:ln>
        <a:effectLst/>
      </c:spPr>
      <c:txPr>
        <a:bodyPr rot="0" spcFirstLastPara="0" vertOverflow="ellipsis" vert="horz" wrap="square" anchor="ctr" anchorCtr="1"/>
        <a:lstStyle/>
        <a:p>
          <a:pPr>
            <a:defRPr lang="zh-CN"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'[Water_Absorption_Percent_3D_14D.xlsx]Absorption Rate'!$B$1</c:f>
              <c:strCache>
                <c:ptCount val="1"/>
                <c:pt idx="0">
                  <c:v>0D Water Absorption (%)</c:v>
                </c:pt>
              </c:strCache>
            </c:strRef>
          </c:tx>
          <c:spPr>
            <a:solidFill>
              <a:schemeClr val="accent1"/>
            </a:solidFill>
            <a:ln>
              <a:noFill/>
            </a:ln>
            <a:effectLst/>
          </c:spPr>
          <c:invertIfNegative val="0"/>
          <c:cat>
            <c:strRef>
              <c:f>'[Water_Absorption_Percent_3D_14D.xlsx]Absorption Rate'!$A$2:$A$6</c:f>
              <c:strCache>
                <c:ptCount val="5"/>
                <c:pt idx="0">
                  <c:v>Ctrl</c:v>
                </c:pt>
                <c:pt idx="1">
                  <c:v>SP</c:v>
                </c:pt>
                <c:pt idx="2">
                  <c:v>AN+F</c:v>
                </c:pt>
                <c:pt idx="3">
                  <c:v>SP+F</c:v>
                </c:pt>
                <c:pt idx="4">
                  <c:v>NC+F</c:v>
                </c:pt>
              </c:strCache>
            </c:strRef>
          </c:cat>
          <c:val>
            <c:numRef>
              <c:f>'[Water_Absorption_Percent_3D_14D.xlsx]Absorption Rate'!$B$2:$B$6</c:f>
              <c:numCache>
                <c:formatCode>General</c:formatCode>
                <c:ptCount val="5"/>
                <c:pt idx="0">
                  <c:v>3.7589343283991599</c:v>
                </c:pt>
                <c:pt idx="1">
                  <c:v>7.1214481925750697</c:v>
                </c:pt>
                <c:pt idx="2">
                  <c:v>4.7997315651647403</c:v>
                </c:pt>
                <c:pt idx="3">
                  <c:v>4.21878102044868</c:v>
                </c:pt>
                <c:pt idx="4">
                  <c:v>0.79742370802024198</c:v>
                </c:pt>
              </c:numCache>
            </c:numRef>
          </c:val>
          <c:extLst>
            <c:ext xmlns:c16="http://schemas.microsoft.com/office/drawing/2014/chart" uri="{C3380CC4-5D6E-409C-BE32-E72D297353CC}">
              <c16:uniqueId val="{00000000-DE22-484B-B641-66D7F0354BCC}"/>
            </c:ext>
          </c:extLst>
        </c:ser>
        <c:ser>
          <c:idx val="1"/>
          <c:order val="1"/>
          <c:tx>
            <c:strRef>
              <c:f>'[Water_Absorption_Percent_3D_14D.xlsx]Absorption Rate'!$C$1</c:f>
              <c:strCache>
                <c:ptCount val="1"/>
                <c:pt idx="0">
                  <c:v>14D Water Absorption (%)</c:v>
                </c:pt>
              </c:strCache>
            </c:strRef>
          </c:tx>
          <c:spPr>
            <a:solidFill>
              <a:schemeClr val="accent2"/>
            </a:solidFill>
            <a:ln>
              <a:noFill/>
            </a:ln>
            <a:effectLst/>
          </c:spPr>
          <c:invertIfNegative val="0"/>
          <c:cat>
            <c:strRef>
              <c:f>'[Water_Absorption_Percent_3D_14D.xlsx]Absorption Rate'!$A$2:$A$6</c:f>
              <c:strCache>
                <c:ptCount val="5"/>
                <c:pt idx="0">
                  <c:v>Ctrl</c:v>
                </c:pt>
                <c:pt idx="1">
                  <c:v>SP</c:v>
                </c:pt>
                <c:pt idx="2">
                  <c:v>AN+F</c:v>
                </c:pt>
                <c:pt idx="3">
                  <c:v>SP+F</c:v>
                </c:pt>
                <c:pt idx="4">
                  <c:v>NC+F</c:v>
                </c:pt>
              </c:strCache>
            </c:strRef>
          </c:cat>
          <c:val>
            <c:numRef>
              <c:f>'[Water_Absorption_Percent_3D_14D.xlsx]Absorption Rate'!$C$2:$C$6</c:f>
              <c:numCache>
                <c:formatCode>General</c:formatCode>
                <c:ptCount val="5"/>
                <c:pt idx="0">
                  <c:v>1.17752504812991</c:v>
                </c:pt>
                <c:pt idx="1">
                  <c:v>1.7595564816379099</c:v>
                </c:pt>
                <c:pt idx="2">
                  <c:v>0.361074031118017</c:v>
                </c:pt>
                <c:pt idx="3">
                  <c:v>1.7119469769856901</c:v>
                </c:pt>
                <c:pt idx="4">
                  <c:v>0.93982079873814295</c:v>
                </c:pt>
              </c:numCache>
            </c:numRef>
          </c:val>
          <c:extLst>
            <c:ext xmlns:c16="http://schemas.microsoft.com/office/drawing/2014/chart" uri="{C3380CC4-5D6E-409C-BE32-E72D297353CC}">
              <c16:uniqueId val="{00000001-DE22-484B-B641-66D7F0354BCC}"/>
            </c:ext>
          </c:extLst>
        </c:ser>
        <c:dLbls>
          <c:showLegendKey val="0"/>
          <c:showVal val="0"/>
          <c:showCatName val="0"/>
          <c:showSerName val="0"/>
          <c:showPercent val="0"/>
          <c:showBubbleSize val="0"/>
        </c:dLbls>
        <c:gapWidth val="267"/>
        <c:overlap val="-43"/>
        <c:axId val="10"/>
        <c:axId val="100"/>
      </c:barChart>
      <c:catAx>
        <c:axId val="1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endParaRPr lang="en-US"/>
          </a:p>
        </c:txPr>
        <c:crossAx val="100"/>
        <c:crosses val="autoZero"/>
        <c:auto val="0"/>
        <c:lblAlgn val="ctr"/>
        <c:lblOffset val="100"/>
        <c:noMultiLvlLbl val="0"/>
      </c:catAx>
      <c:valAx>
        <c:axId val="10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r>
                  <a:rPr lang="en-US"/>
                  <a:t>Absorption (%)</a:t>
                </a:r>
              </a:p>
            </c:rich>
          </c:tx>
          <c:overlay val="0"/>
          <c:spPr>
            <a:noFill/>
            <a:ln>
              <a:noFill/>
            </a:ln>
            <a:effectLst/>
          </c:spPr>
          <c:txPr>
            <a:bodyPr rot="-5400000" spcFirstLastPara="0" vertOverflow="ellipsis" vert="horz" wrap="square" anchor="ctr" anchorCtr="1"/>
            <a:lstStyle/>
            <a:p>
              <a:pPr>
                <a:defRPr lang="zh-CN"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crossAx val="1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4ECF9-1B7D-422D-A3BB-0ECDAEC8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29</Pages>
  <Words>8869</Words>
  <Characters>50558</Characters>
  <Application>Microsoft Office Word</Application>
  <DocSecurity>0</DocSecurity>
  <Lines>421</Lines>
  <Paragraphs>118</Paragraphs>
  <ScaleCrop>false</ScaleCrop>
  <Company/>
  <LinksUpToDate>false</LinksUpToDate>
  <CharactersWithSpaces>59309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cp:lastModifiedBy>Lockwood, Chris</cp:lastModifiedBy>
  <cp:revision>459</cp:revision>
  <dcterms:created xsi:type="dcterms:W3CDTF">2025-07-24T12:57:00Z</dcterms:created>
  <dcterms:modified xsi:type="dcterms:W3CDTF">2025-11-18T20:49:00Z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FD8A7840E2C94A189B442756A7260D0D</vt:lpwstr>
  </property>
</Properties>
</file>