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19394" w14:textId="77777777" w:rsidR="00AB4657" w:rsidRPr="001778AC" w:rsidRDefault="00AB4657" w:rsidP="00DF43D2">
      <w:pPr>
        <w:jc w:val="both"/>
        <w:rPr>
          <w:b/>
        </w:rPr>
      </w:pPr>
    </w:p>
    <w:p w14:paraId="0A2AD52F" w14:textId="6803B3DC" w:rsidR="008332D5" w:rsidRPr="001778AC" w:rsidRDefault="00DA29D2" w:rsidP="00DF43D2">
      <w:pPr>
        <w:jc w:val="both"/>
        <w:rPr>
          <w:b/>
        </w:rPr>
      </w:pPr>
      <w:r w:rsidRPr="001778AC">
        <w:rPr>
          <w:b/>
        </w:rPr>
        <w:t>BUDGET JUSTIFICATION</w:t>
      </w:r>
    </w:p>
    <w:p w14:paraId="28412A57" w14:textId="77777777" w:rsidR="008332D5" w:rsidRPr="001778AC" w:rsidRDefault="008332D5" w:rsidP="00DF43D2">
      <w:pPr>
        <w:jc w:val="both"/>
      </w:pPr>
    </w:p>
    <w:p w14:paraId="67022345" w14:textId="29254517" w:rsidR="008332D5" w:rsidRPr="001778AC" w:rsidRDefault="008332D5" w:rsidP="00DF43D2">
      <w:pPr>
        <w:jc w:val="both"/>
        <w:rPr>
          <w:b/>
        </w:rPr>
      </w:pPr>
      <w:r w:rsidRPr="001778AC">
        <w:rPr>
          <w:b/>
        </w:rPr>
        <w:t>Personnel</w:t>
      </w:r>
    </w:p>
    <w:p w14:paraId="74751182" w14:textId="57DA83DD" w:rsidR="00D9152E" w:rsidRPr="001778AC" w:rsidRDefault="004A065D" w:rsidP="00DF43D2">
      <w:pPr>
        <w:jc w:val="both"/>
        <w:rPr>
          <w:i/>
        </w:rPr>
      </w:pPr>
      <w:r w:rsidRPr="001778AC">
        <w:rPr>
          <w:i/>
        </w:rPr>
        <w:t>List all persons/positions to be paid with project funds and briefly describe their role in the project. Indicate that salaries are based on current University of Illinois academic and staff salary scales (i.e., Institutional Base Salary [IBS]) and explain the types of anticipated salary increases (merit or range adjustment), the rate of increase, and the period of time to which the increases apply.</w:t>
      </w:r>
    </w:p>
    <w:p w14:paraId="783D1E8D" w14:textId="4F2D368A" w:rsidR="005600D2" w:rsidRPr="001778AC" w:rsidRDefault="005600D2" w:rsidP="00DF43D2">
      <w:pPr>
        <w:jc w:val="both"/>
        <w:rPr>
          <w:i/>
        </w:rPr>
      </w:pPr>
    </w:p>
    <w:p w14:paraId="6D5C9E6A" w14:textId="48C454EA" w:rsidR="004A065D" w:rsidRPr="001778AC" w:rsidRDefault="004A065D" w:rsidP="00DF43D2">
      <w:pPr>
        <w:jc w:val="both"/>
        <w:rPr>
          <w:i/>
          <w:u w:val="single"/>
        </w:rPr>
      </w:pPr>
      <w:r w:rsidRPr="001778AC">
        <w:rPr>
          <w:u w:val="single"/>
        </w:rPr>
        <w:t xml:space="preserve">Senior Personnel </w:t>
      </w:r>
      <w:r w:rsidRPr="001778AC">
        <w:rPr>
          <w:i/>
          <w:u w:val="single"/>
        </w:rPr>
        <w:t xml:space="preserve">(include </w:t>
      </w:r>
      <w:r w:rsidR="002B2A8D" w:rsidRPr="001778AC">
        <w:rPr>
          <w:i/>
          <w:u w:val="single"/>
        </w:rPr>
        <w:t>summer/</w:t>
      </w:r>
      <w:r w:rsidRPr="001778AC">
        <w:rPr>
          <w:i/>
          <w:u w:val="single"/>
        </w:rPr>
        <w:t>calendar months effort)</w:t>
      </w:r>
    </w:p>
    <w:p w14:paraId="7902814A" w14:textId="44D97BDA" w:rsidR="00E0486B" w:rsidRPr="001778AC" w:rsidRDefault="00E0486B" w:rsidP="002B2A8D">
      <w:pPr>
        <w:pStyle w:val="ListParagraph"/>
        <w:numPr>
          <w:ilvl w:val="0"/>
          <w:numId w:val="3"/>
        </w:numPr>
        <w:jc w:val="both"/>
        <w:rPr>
          <w:rFonts w:ascii="Times New Roman" w:hAnsi="Times New Roman" w:cs="Times New Roman"/>
          <w:sz w:val="24"/>
          <w:szCs w:val="24"/>
        </w:rPr>
      </w:pPr>
    </w:p>
    <w:p w14:paraId="66713382" w14:textId="77777777" w:rsidR="002B2A8D" w:rsidRPr="001778AC" w:rsidRDefault="002B2A8D" w:rsidP="00DF43D2">
      <w:pPr>
        <w:jc w:val="both"/>
      </w:pPr>
    </w:p>
    <w:p w14:paraId="642F3497" w14:textId="2EBB8DEE" w:rsidR="004A065D" w:rsidRPr="001778AC" w:rsidRDefault="004A065D" w:rsidP="00DF43D2">
      <w:pPr>
        <w:jc w:val="both"/>
        <w:rPr>
          <w:u w:val="single"/>
        </w:rPr>
      </w:pPr>
      <w:r w:rsidRPr="001778AC">
        <w:rPr>
          <w:u w:val="single"/>
        </w:rPr>
        <w:t xml:space="preserve">Other Personnel </w:t>
      </w:r>
      <w:r w:rsidRPr="001778AC">
        <w:rPr>
          <w:i/>
          <w:u w:val="single"/>
        </w:rPr>
        <w:t>(include calendar months effort)</w:t>
      </w:r>
    </w:p>
    <w:p w14:paraId="38751889" w14:textId="1FD1EFD9" w:rsidR="004A065D" w:rsidRPr="001778AC" w:rsidRDefault="004A065D" w:rsidP="002B2A8D">
      <w:pPr>
        <w:pStyle w:val="ListParagraph"/>
        <w:numPr>
          <w:ilvl w:val="0"/>
          <w:numId w:val="3"/>
        </w:numPr>
        <w:jc w:val="both"/>
        <w:rPr>
          <w:rFonts w:ascii="Times New Roman" w:hAnsi="Times New Roman" w:cs="Times New Roman"/>
          <w:sz w:val="24"/>
          <w:szCs w:val="24"/>
        </w:rPr>
      </w:pPr>
    </w:p>
    <w:p w14:paraId="53EB27B4" w14:textId="4F1A461F" w:rsidR="002B2A8D" w:rsidRPr="001778AC" w:rsidRDefault="002B2A8D" w:rsidP="00DF43D2">
      <w:pPr>
        <w:jc w:val="both"/>
      </w:pPr>
    </w:p>
    <w:p w14:paraId="3E00F6D8" w14:textId="3550913D" w:rsidR="002B2A8D" w:rsidRPr="001778AC" w:rsidRDefault="002B2A8D" w:rsidP="00DF43D2">
      <w:pPr>
        <w:jc w:val="both"/>
        <w:rPr>
          <w:i/>
          <w:u w:val="single"/>
        </w:rPr>
      </w:pPr>
      <w:r w:rsidRPr="001778AC">
        <w:rPr>
          <w:u w:val="single"/>
        </w:rPr>
        <w:t xml:space="preserve">Graduate Students </w:t>
      </w:r>
      <w:r w:rsidRPr="001778AC">
        <w:rPr>
          <w:i/>
          <w:u w:val="single"/>
        </w:rPr>
        <w:t>(include FTE, number of months per year, monthly rate)</w:t>
      </w:r>
    </w:p>
    <w:p w14:paraId="3EC2B804" w14:textId="06350B07" w:rsidR="002B2A8D" w:rsidRPr="001778AC" w:rsidRDefault="002B2A8D" w:rsidP="002B2A8D">
      <w:pPr>
        <w:pStyle w:val="ListParagraph"/>
        <w:numPr>
          <w:ilvl w:val="0"/>
          <w:numId w:val="3"/>
        </w:numPr>
        <w:jc w:val="both"/>
        <w:rPr>
          <w:rFonts w:ascii="Times New Roman" w:hAnsi="Times New Roman" w:cs="Times New Roman"/>
          <w:sz w:val="24"/>
          <w:szCs w:val="24"/>
          <w:u w:val="single"/>
        </w:rPr>
      </w:pPr>
    </w:p>
    <w:p w14:paraId="3BF4C709" w14:textId="77777777" w:rsidR="002B2A8D" w:rsidRPr="001778AC" w:rsidRDefault="002B2A8D" w:rsidP="002B2A8D">
      <w:pPr>
        <w:jc w:val="both"/>
        <w:rPr>
          <w:u w:val="single"/>
        </w:rPr>
      </w:pPr>
    </w:p>
    <w:p w14:paraId="726C7C27" w14:textId="08F51F69" w:rsidR="004A065D" w:rsidRPr="001778AC" w:rsidRDefault="004A065D" w:rsidP="00DF43D2">
      <w:pPr>
        <w:jc w:val="both"/>
        <w:rPr>
          <w:i/>
          <w:u w:val="single"/>
        </w:rPr>
      </w:pPr>
      <w:r w:rsidRPr="001778AC">
        <w:rPr>
          <w:u w:val="single"/>
        </w:rPr>
        <w:t>Undergraduate Students</w:t>
      </w:r>
      <w:r w:rsidRPr="001778AC">
        <w:rPr>
          <w:i/>
          <w:u w:val="single"/>
        </w:rPr>
        <w:t xml:space="preserve"> (include hourly rate, hours per week, and number of weeks)</w:t>
      </w:r>
    </w:p>
    <w:p w14:paraId="4B86A83C" w14:textId="7F5F165A" w:rsidR="004A065D" w:rsidRPr="001778AC" w:rsidRDefault="004A065D" w:rsidP="002B2A8D">
      <w:pPr>
        <w:pStyle w:val="ListParagraph"/>
        <w:numPr>
          <w:ilvl w:val="0"/>
          <w:numId w:val="3"/>
        </w:numPr>
        <w:jc w:val="both"/>
        <w:rPr>
          <w:rFonts w:ascii="Times New Roman" w:hAnsi="Times New Roman" w:cs="Times New Roman"/>
          <w:i/>
          <w:sz w:val="24"/>
          <w:szCs w:val="24"/>
        </w:rPr>
      </w:pPr>
    </w:p>
    <w:p w14:paraId="7DE98576" w14:textId="77777777" w:rsidR="002B2A8D" w:rsidRPr="001778AC" w:rsidRDefault="002B2A8D" w:rsidP="00DF43D2">
      <w:pPr>
        <w:jc w:val="both"/>
        <w:rPr>
          <w:i/>
        </w:rPr>
      </w:pPr>
    </w:p>
    <w:p w14:paraId="1F9815F3" w14:textId="33ED7EF6" w:rsidR="00F01E42" w:rsidRPr="001778AC" w:rsidRDefault="00F01E42" w:rsidP="00F01E42">
      <w:pPr>
        <w:jc w:val="both"/>
      </w:pPr>
      <w:r w:rsidRPr="001778AC">
        <w:t xml:space="preserve">Salaries are based on current University of Illinois academic and staff salary scales (i.e., Institutional Base Salary). Per Campus Administrative Manual policy on </w:t>
      </w:r>
      <w:hyperlink r:id="rId10" w:history="1">
        <w:r w:rsidRPr="001778AC">
          <w:rPr>
            <w:rStyle w:val="Hyperlink"/>
          </w:rPr>
          <w:t>Effort and Compensation on Sponsored Projects</w:t>
        </w:r>
      </w:hyperlink>
      <w:r w:rsidRPr="001778AC">
        <w:t>, Institutional Base Salary is defined as: “The annual compensation the university pays for activities performed (including, as applicable, research, teaching, and clinical practice) as part of an employee’s university appointment(s).</w:t>
      </w:r>
    </w:p>
    <w:p w14:paraId="136456F3" w14:textId="70A0B506" w:rsidR="00F01E42" w:rsidRPr="001778AC" w:rsidRDefault="00F01E42" w:rsidP="00DF43D2">
      <w:pPr>
        <w:jc w:val="both"/>
      </w:pPr>
    </w:p>
    <w:p w14:paraId="604D8C1B" w14:textId="2557022F" w:rsidR="00210466" w:rsidRDefault="00210466" w:rsidP="00DF43D2">
      <w:pPr>
        <w:jc w:val="both"/>
      </w:pPr>
      <w:r w:rsidRPr="001778AC">
        <w:t xml:space="preserve">A 3% annual salary increase is assumed for all personnel involved in the proposed project.  </w:t>
      </w:r>
    </w:p>
    <w:p w14:paraId="15FB9E78" w14:textId="568AC348" w:rsidR="00EE0108" w:rsidRDefault="00EE0108" w:rsidP="00DF43D2">
      <w:pPr>
        <w:jc w:val="both"/>
      </w:pPr>
    </w:p>
    <w:p w14:paraId="24728C88" w14:textId="47A45B31" w:rsidR="00EE0108" w:rsidRPr="001778AC" w:rsidRDefault="00EE0108" w:rsidP="00DF43D2">
      <w:pPr>
        <w:jc w:val="both"/>
      </w:pPr>
      <w:r>
        <w:t xml:space="preserve">The University’s academic year is 8/16-8/15. </w:t>
      </w:r>
    </w:p>
    <w:p w14:paraId="6D07007B" w14:textId="77777777" w:rsidR="00210466" w:rsidRPr="001778AC" w:rsidRDefault="00210466" w:rsidP="00DF43D2">
      <w:pPr>
        <w:jc w:val="both"/>
      </w:pPr>
    </w:p>
    <w:p w14:paraId="5BC9F0F2" w14:textId="42958A7C" w:rsidR="008332D5" w:rsidRPr="001778AC" w:rsidRDefault="004A065D" w:rsidP="00DF43D2">
      <w:pPr>
        <w:jc w:val="both"/>
        <w:rPr>
          <w:b/>
        </w:rPr>
      </w:pPr>
      <w:r w:rsidRPr="001778AC">
        <w:rPr>
          <w:b/>
        </w:rPr>
        <w:t xml:space="preserve">Fringe </w:t>
      </w:r>
      <w:r w:rsidR="008332D5" w:rsidRPr="001778AC">
        <w:rPr>
          <w:b/>
        </w:rPr>
        <w:t>Benefits</w:t>
      </w:r>
    </w:p>
    <w:p w14:paraId="233AD55D" w14:textId="37AD38CE" w:rsidR="004A065D" w:rsidRPr="001778AC" w:rsidRDefault="004A065D" w:rsidP="004A065D">
      <w:pPr>
        <w:jc w:val="both"/>
      </w:pPr>
      <w:r w:rsidRPr="001778AC">
        <w:t>Fringe benefit rates are updated annually and approved by the Federal government near the beginning of each fiscal year. Changes in fringe benefit rates are assessed immediately when they become effective. Frin</w:t>
      </w:r>
      <w:r w:rsidR="0031064A">
        <w:t>ge benefit rate changes for FY2</w:t>
      </w:r>
      <w:r w:rsidR="004546B7">
        <w:t>5</w:t>
      </w:r>
      <w:r w:rsidRPr="001778AC">
        <w:t xml:space="preserve"> </w:t>
      </w:r>
      <w:r w:rsidR="002B2A8D" w:rsidRPr="001778AC">
        <w:t>became</w:t>
      </w:r>
      <w:r w:rsidRPr="001778AC">
        <w:t xml:space="preserve"> effect</w:t>
      </w:r>
      <w:r w:rsidR="0031064A">
        <w:t>ive July 202</w:t>
      </w:r>
      <w:r w:rsidR="004546B7">
        <w:t>4</w:t>
      </w:r>
      <w:r w:rsidRPr="001778AC">
        <w:t>.</w:t>
      </w:r>
    </w:p>
    <w:p w14:paraId="34DAFAD5" w14:textId="3B51D11A" w:rsidR="00CA3973" w:rsidRDefault="00CA3973" w:rsidP="004A065D">
      <w:pPr>
        <w:jc w:val="both"/>
      </w:pPr>
    </w:p>
    <w:tbl>
      <w:tblPr>
        <w:tblStyle w:val="TableGrid"/>
        <w:tblW w:w="0" w:type="auto"/>
        <w:jc w:val="center"/>
        <w:tblLayout w:type="fixed"/>
        <w:tblLook w:val="04A0" w:firstRow="1" w:lastRow="0" w:firstColumn="1" w:lastColumn="0" w:noHBand="0" w:noVBand="1"/>
      </w:tblPr>
      <w:tblGrid>
        <w:gridCol w:w="1795"/>
        <w:gridCol w:w="810"/>
        <w:gridCol w:w="1170"/>
        <w:gridCol w:w="810"/>
        <w:gridCol w:w="1440"/>
        <w:gridCol w:w="1260"/>
        <w:gridCol w:w="1170"/>
        <w:gridCol w:w="895"/>
      </w:tblGrid>
      <w:tr w:rsidR="00CA3973" w:rsidRPr="00CA3973" w14:paraId="234E8BF6" w14:textId="77777777" w:rsidTr="00CA3973">
        <w:trPr>
          <w:jc w:val="center"/>
        </w:trPr>
        <w:tc>
          <w:tcPr>
            <w:tcW w:w="9350" w:type="dxa"/>
            <w:gridSpan w:val="8"/>
          </w:tcPr>
          <w:p w14:paraId="014A87F6" w14:textId="50134DAC" w:rsidR="00CA3973" w:rsidRPr="00EE0108" w:rsidRDefault="00CA3973" w:rsidP="00CA3973">
            <w:pPr>
              <w:jc w:val="center"/>
              <w:rPr>
                <w:b/>
                <w:sz w:val="20"/>
                <w:szCs w:val="20"/>
              </w:rPr>
            </w:pPr>
            <w:r w:rsidRPr="00EE0108">
              <w:rPr>
                <w:b/>
                <w:sz w:val="20"/>
                <w:szCs w:val="20"/>
              </w:rPr>
              <w:t>FRINGE BENEFIT RATES – FY2</w:t>
            </w:r>
            <w:r w:rsidR="00D304C6">
              <w:rPr>
                <w:b/>
                <w:sz w:val="20"/>
                <w:szCs w:val="20"/>
              </w:rPr>
              <w:t>5</w:t>
            </w:r>
          </w:p>
        </w:tc>
      </w:tr>
      <w:tr w:rsidR="00CA3973" w:rsidRPr="00CA3973" w14:paraId="2FFE669A" w14:textId="77777777" w:rsidTr="00CA3973">
        <w:trPr>
          <w:jc w:val="center"/>
        </w:trPr>
        <w:tc>
          <w:tcPr>
            <w:tcW w:w="1795" w:type="dxa"/>
          </w:tcPr>
          <w:p w14:paraId="175C1A90" w14:textId="7C811A16" w:rsidR="00CA3973" w:rsidRPr="00CA3973" w:rsidRDefault="00CA3973" w:rsidP="00CA3973">
            <w:pPr>
              <w:jc w:val="center"/>
              <w:rPr>
                <w:sz w:val="20"/>
                <w:szCs w:val="20"/>
              </w:rPr>
            </w:pPr>
            <w:r w:rsidRPr="00CA3973">
              <w:rPr>
                <w:sz w:val="20"/>
                <w:szCs w:val="20"/>
              </w:rPr>
              <w:t>Employee Group</w:t>
            </w:r>
          </w:p>
        </w:tc>
        <w:tc>
          <w:tcPr>
            <w:tcW w:w="810" w:type="dxa"/>
          </w:tcPr>
          <w:p w14:paraId="4373BC26" w14:textId="1BEA0894" w:rsidR="00CA3973" w:rsidRPr="00CA3973" w:rsidRDefault="00CA3973" w:rsidP="00CA3973">
            <w:pPr>
              <w:jc w:val="center"/>
              <w:rPr>
                <w:sz w:val="20"/>
                <w:szCs w:val="20"/>
              </w:rPr>
            </w:pPr>
            <w:r w:rsidRPr="00CA3973">
              <w:rPr>
                <w:sz w:val="20"/>
                <w:szCs w:val="20"/>
              </w:rPr>
              <w:t>Total Benefit Rate</w:t>
            </w:r>
          </w:p>
        </w:tc>
        <w:tc>
          <w:tcPr>
            <w:tcW w:w="1170" w:type="dxa"/>
          </w:tcPr>
          <w:p w14:paraId="4A05D7FB" w14:textId="1ADB9DA9" w:rsidR="00CA3973" w:rsidRPr="00CA3973" w:rsidRDefault="00CA3973" w:rsidP="00CA3973">
            <w:pPr>
              <w:jc w:val="center"/>
              <w:rPr>
                <w:sz w:val="20"/>
                <w:szCs w:val="20"/>
              </w:rPr>
            </w:pPr>
            <w:r w:rsidRPr="00CA3973">
              <w:rPr>
                <w:sz w:val="20"/>
                <w:szCs w:val="20"/>
              </w:rPr>
              <w:t>Retirement</w:t>
            </w:r>
          </w:p>
        </w:tc>
        <w:tc>
          <w:tcPr>
            <w:tcW w:w="810" w:type="dxa"/>
          </w:tcPr>
          <w:p w14:paraId="5D3B95FE" w14:textId="0E3C6E7C" w:rsidR="00CA3973" w:rsidRPr="00CA3973" w:rsidRDefault="00CA3973" w:rsidP="00CA3973">
            <w:pPr>
              <w:jc w:val="center"/>
              <w:rPr>
                <w:sz w:val="20"/>
                <w:szCs w:val="20"/>
              </w:rPr>
            </w:pPr>
            <w:r w:rsidRPr="00CA3973">
              <w:rPr>
                <w:sz w:val="20"/>
                <w:szCs w:val="20"/>
              </w:rPr>
              <w:t>Health, Life, Dental</w:t>
            </w:r>
          </w:p>
        </w:tc>
        <w:tc>
          <w:tcPr>
            <w:tcW w:w="1440" w:type="dxa"/>
          </w:tcPr>
          <w:p w14:paraId="51F61AFF" w14:textId="3389F3F2" w:rsidR="00CA3973" w:rsidRPr="00CA3973" w:rsidRDefault="00CA3973" w:rsidP="00CA3973">
            <w:pPr>
              <w:jc w:val="center"/>
              <w:rPr>
                <w:sz w:val="20"/>
                <w:szCs w:val="20"/>
              </w:rPr>
            </w:pPr>
            <w:r w:rsidRPr="00CA3973">
              <w:rPr>
                <w:sz w:val="20"/>
                <w:szCs w:val="20"/>
              </w:rPr>
              <w:t>Workers’ Compensation</w:t>
            </w:r>
          </w:p>
        </w:tc>
        <w:tc>
          <w:tcPr>
            <w:tcW w:w="1260" w:type="dxa"/>
          </w:tcPr>
          <w:p w14:paraId="69768DCA" w14:textId="21170196" w:rsidR="00CA3973" w:rsidRPr="00CA3973" w:rsidRDefault="00CA3973" w:rsidP="00CA3973">
            <w:pPr>
              <w:jc w:val="center"/>
              <w:rPr>
                <w:sz w:val="20"/>
                <w:szCs w:val="20"/>
              </w:rPr>
            </w:pPr>
            <w:r w:rsidRPr="00CA3973">
              <w:rPr>
                <w:sz w:val="20"/>
                <w:szCs w:val="20"/>
              </w:rPr>
              <w:t>Termination</w:t>
            </w:r>
          </w:p>
        </w:tc>
        <w:tc>
          <w:tcPr>
            <w:tcW w:w="1170" w:type="dxa"/>
          </w:tcPr>
          <w:p w14:paraId="042A6078" w14:textId="2A5A6958" w:rsidR="00CA3973" w:rsidRPr="00CA3973" w:rsidRDefault="00CA3973" w:rsidP="00CA3973">
            <w:pPr>
              <w:jc w:val="center"/>
              <w:rPr>
                <w:sz w:val="20"/>
                <w:szCs w:val="20"/>
              </w:rPr>
            </w:pPr>
            <w:r w:rsidRPr="00CA3973">
              <w:rPr>
                <w:sz w:val="20"/>
                <w:szCs w:val="20"/>
              </w:rPr>
              <w:t>Medicare</w:t>
            </w:r>
          </w:p>
        </w:tc>
        <w:tc>
          <w:tcPr>
            <w:tcW w:w="895" w:type="dxa"/>
          </w:tcPr>
          <w:p w14:paraId="68C38627" w14:textId="32909C1D" w:rsidR="00CA3973" w:rsidRPr="00CA3973" w:rsidRDefault="00CA3973" w:rsidP="00CA3973">
            <w:pPr>
              <w:jc w:val="center"/>
              <w:rPr>
                <w:sz w:val="20"/>
                <w:szCs w:val="20"/>
              </w:rPr>
            </w:pPr>
            <w:r w:rsidRPr="00CA3973">
              <w:rPr>
                <w:sz w:val="20"/>
                <w:szCs w:val="20"/>
              </w:rPr>
              <w:t>OASDI</w:t>
            </w:r>
          </w:p>
        </w:tc>
      </w:tr>
      <w:tr w:rsidR="00CA3973" w:rsidRPr="00CA3973" w14:paraId="0D78AF7E" w14:textId="77777777" w:rsidTr="00CA3973">
        <w:trPr>
          <w:jc w:val="center"/>
        </w:trPr>
        <w:tc>
          <w:tcPr>
            <w:tcW w:w="1795" w:type="dxa"/>
          </w:tcPr>
          <w:p w14:paraId="4DB2F304" w14:textId="3D7B75B4" w:rsidR="00CA3973" w:rsidRPr="00CA3973" w:rsidRDefault="00CA3973" w:rsidP="00EE0108">
            <w:pPr>
              <w:rPr>
                <w:sz w:val="16"/>
                <w:szCs w:val="16"/>
              </w:rPr>
            </w:pPr>
            <w:r w:rsidRPr="00CA3973">
              <w:rPr>
                <w:sz w:val="16"/>
                <w:szCs w:val="16"/>
              </w:rPr>
              <w:t>Employees Covered By The State University Retirement Systems (SURS) Non Self-Managed Plan</w:t>
            </w:r>
          </w:p>
        </w:tc>
        <w:tc>
          <w:tcPr>
            <w:tcW w:w="810" w:type="dxa"/>
          </w:tcPr>
          <w:p w14:paraId="5A33FCC8" w14:textId="77777777" w:rsidR="00CA3973" w:rsidRPr="00EE0108" w:rsidRDefault="00CA3973" w:rsidP="00CA3973">
            <w:pPr>
              <w:jc w:val="center"/>
              <w:rPr>
                <w:b/>
                <w:sz w:val="20"/>
                <w:szCs w:val="20"/>
              </w:rPr>
            </w:pPr>
          </w:p>
          <w:p w14:paraId="0FD8FBBB" w14:textId="77777777" w:rsidR="00CA3973" w:rsidRPr="00EE0108" w:rsidRDefault="00CA3973" w:rsidP="00CA3973">
            <w:pPr>
              <w:jc w:val="center"/>
              <w:rPr>
                <w:b/>
                <w:sz w:val="20"/>
                <w:szCs w:val="20"/>
              </w:rPr>
            </w:pPr>
          </w:p>
          <w:p w14:paraId="6521CED2" w14:textId="58B3438E" w:rsidR="00CA3973" w:rsidRPr="00EE0108" w:rsidRDefault="0031064A" w:rsidP="00CA3973">
            <w:pPr>
              <w:jc w:val="center"/>
              <w:rPr>
                <w:b/>
                <w:sz w:val="20"/>
                <w:szCs w:val="20"/>
              </w:rPr>
            </w:pPr>
            <w:r>
              <w:rPr>
                <w:b/>
                <w:sz w:val="20"/>
                <w:szCs w:val="20"/>
              </w:rPr>
              <w:t>4</w:t>
            </w:r>
            <w:r w:rsidR="004546B7">
              <w:rPr>
                <w:b/>
                <w:sz w:val="20"/>
                <w:szCs w:val="20"/>
              </w:rPr>
              <w:t>6.38</w:t>
            </w:r>
          </w:p>
        </w:tc>
        <w:tc>
          <w:tcPr>
            <w:tcW w:w="1170" w:type="dxa"/>
          </w:tcPr>
          <w:p w14:paraId="47A8EA0D" w14:textId="77777777" w:rsidR="004546B7" w:rsidRDefault="004546B7" w:rsidP="00CA3973">
            <w:pPr>
              <w:jc w:val="center"/>
              <w:rPr>
                <w:sz w:val="20"/>
                <w:szCs w:val="20"/>
              </w:rPr>
            </w:pPr>
            <w:r>
              <w:rPr>
                <w:sz w:val="20"/>
                <w:szCs w:val="20"/>
              </w:rPr>
              <w:t xml:space="preserve"> </w:t>
            </w:r>
          </w:p>
          <w:p w14:paraId="2D88BA61" w14:textId="77777777" w:rsidR="004546B7" w:rsidRDefault="004546B7" w:rsidP="00CA3973">
            <w:pPr>
              <w:jc w:val="center"/>
              <w:rPr>
                <w:sz w:val="20"/>
                <w:szCs w:val="20"/>
              </w:rPr>
            </w:pPr>
          </w:p>
          <w:p w14:paraId="5D083D7B" w14:textId="3627BCF4" w:rsidR="00CA3973" w:rsidRPr="00CA3973" w:rsidRDefault="004546B7" w:rsidP="00CA3973">
            <w:pPr>
              <w:jc w:val="center"/>
              <w:rPr>
                <w:sz w:val="20"/>
                <w:szCs w:val="20"/>
              </w:rPr>
            </w:pPr>
            <w:r>
              <w:rPr>
                <w:sz w:val="20"/>
                <w:szCs w:val="20"/>
              </w:rPr>
              <w:t>11.98</w:t>
            </w:r>
          </w:p>
        </w:tc>
        <w:tc>
          <w:tcPr>
            <w:tcW w:w="810" w:type="dxa"/>
          </w:tcPr>
          <w:p w14:paraId="3FDC6827" w14:textId="77777777" w:rsidR="00CA3973" w:rsidRDefault="00CA3973" w:rsidP="00CA3973">
            <w:pPr>
              <w:jc w:val="center"/>
              <w:rPr>
                <w:sz w:val="20"/>
                <w:szCs w:val="20"/>
              </w:rPr>
            </w:pPr>
          </w:p>
          <w:p w14:paraId="2A0B6811" w14:textId="77777777" w:rsidR="00CA3973" w:rsidRDefault="00CA3973" w:rsidP="00CA3973">
            <w:pPr>
              <w:jc w:val="center"/>
              <w:rPr>
                <w:sz w:val="20"/>
                <w:szCs w:val="20"/>
              </w:rPr>
            </w:pPr>
          </w:p>
          <w:p w14:paraId="202B86CE" w14:textId="11EED9D9" w:rsidR="00CA3973" w:rsidRPr="00CA3973" w:rsidRDefault="004546B7" w:rsidP="00CA3973">
            <w:pPr>
              <w:jc w:val="center"/>
              <w:rPr>
                <w:sz w:val="20"/>
                <w:szCs w:val="20"/>
              </w:rPr>
            </w:pPr>
            <w:r>
              <w:rPr>
                <w:sz w:val="20"/>
                <w:szCs w:val="20"/>
              </w:rPr>
              <w:t>32.20</w:t>
            </w:r>
          </w:p>
        </w:tc>
        <w:tc>
          <w:tcPr>
            <w:tcW w:w="1440" w:type="dxa"/>
          </w:tcPr>
          <w:p w14:paraId="3D7DD889" w14:textId="77777777" w:rsidR="00CA3973" w:rsidRDefault="00CA3973" w:rsidP="00CA3973">
            <w:pPr>
              <w:jc w:val="center"/>
              <w:rPr>
                <w:sz w:val="20"/>
                <w:szCs w:val="20"/>
              </w:rPr>
            </w:pPr>
          </w:p>
          <w:p w14:paraId="3FAC8CFA" w14:textId="77777777" w:rsidR="00CA3973" w:rsidRDefault="00CA3973" w:rsidP="00CA3973">
            <w:pPr>
              <w:jc w:val="center"/>
              <w:rPr>
                <w:sz w:val="20"/>
                <w:szCs w:val="20"/>
              </w:rPr>
            </w:pPr>
          </w:p>
          <w:p w14:paraId="40DF4EA0" w14:textId="1FE8C3CF" w:rsidR="00CA3973" w:rsidRPr="00CA3973" w:rsidRDefault="00CA3973" w:rsidP="00CA3973">
            <w:pPr>
              <w:jc w:val="center"/>
              <w:rPr>
                <w:sz w:val="20"/>
                <w:szCs w:val="20"/>
              </w:rPr>
            </w:pPr>
            <w:r>
              <w:rPr>
                <w:sz w:val="20"/>
                <w:szCs w:val="20"/>
              </w:rPr>
              <w:t>0.01</w:t>
            </w:r>
          </w:p>
        </w:tc>
        <w:tc>
          <w:tcPr>
            <w:tcW w:w="1260" w:type="dxa"/>
          </w:tcPr>
          <w:p w14:paraId="4B9030A4" w14:textId="77777777" w:rsidR="00CA3973" w:rsidRDefault="00CA3973" w:rsidP="00CA3973">
            <w:pPr>
              <w:jc w:val="center"/>
              <w:rPr>
                <w:sz w:val="20"/>
                <w:szCs w:val="20"/>
              </w:rPr>
            </w:pPr>
          </w:p>
          <w:p w14:paraId="1F85ECA8" w14:textId="77777777" w:rsidR="00CA3973" w:rsidRDefault="00CA3973" w:rsidP="00CA3973">
            <w:pPr>
              <w:jc w:val="center"/>
              <w:rPr>
                <w:sz w:val="20"/>
                <w:szCs w:val="20"/>
              </w:rPr>
            </w:pPr>
          </w:p>
          <w:p w14:paraId="51D81608" w14:textId="1215B487" w:rsidR="00CA3973" w:rsidRPr="00CA3973" w:rsidRDefault="00E27B3A" w:rsidP="00CA3973">
            <w:pPr>
              <w:jc w:val="center"/>
              <w:rPr>
                <w:sz w:val="20"/>
                <w:szCs w:val="20"/>
              </w:rPr>
            </w:pPr>
            <w:r>
              <w:rPr>
                <w:sz w:val="20"/>
                <w:szCs w:val="20"/>
              </w:rPr>
              <w:t>0.</w:t>
            </w:r>
            <w:r w:rsidR="004546B7">
              <w:rPr>
                <w:sz w:val="20"/>
                <w:szCs w:val="20"/>
              </w:rPr>
              <w:t>74</w:t>
            </w:r>
          </w:p>
        </w:tc>
        <w:tc>
          <w:tcPr>
            <w:tcW w:w="1170" w:type="dxa"/>
          </w:tcPr>
          <w:p w14:paraId="4A627A73" w14:textId="77777777" w:rsidR="00CA3973" w:rsidRDefault="00CA3973" w:rsidP="00CA3973">
            <w:pPr>
              <w:jc w:val="center"/>
              <w:rPr>
                <w:sz w:val="20"/>
                <w:szCs w:val="20"/>
              </w:rPr>
            </w:pPr>
          </w:p>
          <w:p w14:paraId="0F31D773" w14:textId="77777777" w:rsidR="00CA3973" w:rsidRDefault="00CA3973" w:rsidP="00CA3973">
            <w:pPr>
              <w:jc w:val="center"/>
              <w:rPr>
                <w:sz w:val="20"/>
                <w:szCs w:val="20"/>
              </w:rPr>
            </w:pPr>
          </w:p>
          <w:p w14:paraId="69D21CCD" w14:textId="3F007268" w:rsidR="00CA3973" w:rsidRPr="00CA3973" w:rsidRDefault="00CA3973" w:rsidP="00CA3973">
            <w:pPr>
              <w:jc w:val="center"/>
              <w:rPr>
                <w:sz w:val="20"/>
                <w:szCs w:val="20"/>
              </w:rPr>
            </w:pPr>
            <w:r>
              <w:rPr>
                <w:sz w:val="20"/>
                <w:szCs w:val="20"/>
              </w:rPr>
              <w:t>1.45</w:t>
            </w:r>
          </w:p>
        </w:tc>
        <w:tc>
          <w:tcPr>
            <w:tcW w:w="895" w:type="dxa"/>
          </w:tcPr>
          <w:p w14:paraId="3CA7D3E4" w14:textId="77777777" w:rsidR="00CA3973" w:rsidRPr="00CA3973" w:rsidRDefault="00CA3973" w:rsidP="00CA3973">
            <w:pPr>
              <w:jc w:val="center"/>
              <w:rPr>
                <w:sz w:val="20"/>
                <w:szCs w:val="20"/>
              </w:rPr>
            </w:pPr>
          </w:p>
        </w:tc>
      </w:tr>
      <w:tr w:rsidR="00CA3973" w:rsidRPr="00CA3973" w14:paraId="405A76E2" w14:textId="77777777" w:rsidTr="00CA3973">
        <w:trPr>
          <w:trHeight w:val="53"/>
          <w:jc w:val="center"/>
        </w:trPr>
        <w:tc>
          <w:tcPr>
            <w:tcW w:w="1795" w:type="dxa"/>
          </w:tcPr>
          <w:p w14:paraId="5CA58C2B" w14:textId="3C28E28B" w:rsidR="00EE0108" w:rsidRPr="00CA3973" w:rsidRDefault="00CA3973" w:rsidP="00EE0108">
            <w:pPr>
              <w:rPr>
                <w:sz w:val="16"/>
                <w:szCs w:val="16"/>
              </w:rPr>
            </w:pPr>
            <w:r w:rsidRPr="00CA3973">
              <w:rPr>
                <w:sz w:val="16"/>
                <w:szCs w:val="16"/>
              </w:rPr>
              <w:t>Employees Covered By the</w:t>
            </w:r>
            <w:r w:rsidR="00EE0108">
              <w:rPr>
                <w:sz w:val="16"/>
                <w:szCs w:val="16"/>
              </w:rPr>
              <w:t xml:space="preserve"> </w:t>
            </w:r>
            <w:r w:rsidRPr="00CA3973">
              <w:rPr>
                <w:sz w:val="16"/>
                <w:szCs w:val="16"/>
              </w:rPr>
              <w:t xml:space="preserve">State University </w:t>
            </w:r>
            <w:r w:rsidRPr="00CA3973">
              <w:rPr>
                <w:sz w:val="16"/>
                <w:szCs w:val="16"/>
              </w:rPr>
              <w:lastRenderedPageBreak/>
              <w:t>Retirement</w:t>
            </w:r>
            <w:r w:rsidR="00EE0108" w:rsidRPr="00CA3973">
              <w:rPr>
                <w:sz w:val="16"/>
                <w:szCs w:val="16"/>
              </w:rPr>
              <w:t xml:space="preserve"> System (SURS)</w:t>
            </w:r>
            <w:r w:rsidR="00EE0108">
              <w:rPr>
                <w:sz w:val="16"/>
                <w:szCs w:val="16"/>
              </w:rPr>
              <w:t xml:space="preserve"> Self-</w:t>
            </w:r>
            <w:r w:rsidR="00EE0108" w:rsidRPr="00CA3973">
              <w:rPr>
                <w:sz w:val="16"/>
                <w:szCs w:val="16"/>
              </w:rPr>
              <w:t>Managed</w:t>
            </w:r>
          </w:p>
          <w:p w14:paraId="69F12A32" w14:textId="55FF3F36" w:rsidR="00CA3973" w:rsidRPr="00CA3973" w:rsidRDefault="00EE0108" w:rsidP="00EE0108">
            <w:pPr>
              <w:rPr>
                <w:sz w:val="16"/>
                <w:szCs w:val="16"/>
              </w:rPr>
            </w:pPr>
            <w:r w:rsidRPr="00CA3973">
              <w:rPr>
                <w:sz w:val="16"/>
                <w:szCs w:val="16"/>
              </w:rPr>
              <w:t>Plan</w:t>
            </w:r>
          </w:p>
        </w:tc>
        <w:tc>
          <w:tcPr>
            <w:tcW w:w="810" w:type="dxa"/>
          </w:tcPr>
          <w:p w14:paraId="7D5CCD8D" w14:textId="77777777" w:rsidR="00CA3973" w:rsidRPr="00EE0108" w:rsidRDefault="00CA3973" w:rsidP="00CA3973">
            <w:pPr>
              <w:jc w:val="center"/>
              <w:rPr>
                <w:b/>
                <w:sz w:val="20"/>
                <w:szCs w:val="20"/>
              </w:rPr>
            </w:pPr>
          </w:p>
          <w:p w14:paraId="63ECAD8F" w14:textId="76218C61" w:rsidR="00CA3973" w:rsidRPr="00EE0108" w:rsidRDefault="004546B7" w:rsidP="00CA3973">
            <w:pPr>
              <w:jc w:val="center"/>
              <w:rPr>
                <w:b/>
                <w:sz w:val="20"/>
                <w:szCs w:val="20"/>
              </w:rPr>
            </w:pPr>
            <w:r>
              <w:rPr>
                <w:b/>
                <w:sz w:val="20"/>
                <w:szCs w:val="20"/>
              </w:rPr>
              <w:t>42.00</w:t>
            </w:r>
          </w:p>
        </w:tc>
        <w:tc>
          <w:tcPr>
            <w:tcW w:w="1170" w:type="dxa"/>
          </w:tcPr>
          <w:p w14:paraId="6D6B04A6" w14:textId="77777777" w:rsidR="00CA3973" w:rsidRDefault="00CA3973" w:rsidP="00CA3973">
            <w:pPr>
              <w:jc w:val="center"/>
              <w:rPr>
                <w:sz w:val="20"/>
                <w:szCs w:val="20"/>
              </w:rPr>
            </w:pPr>
          </w:p>
          <w:p w14:paraId="09CB2849" w14:textId="6C46A669" w:rsidR="00CA3973" w:rsidRPr="00CA3973" w:rsidRDefault="00CA3973" w:rsidP="00CA3973">
            <w:pPr>
              <w:jc w:val="center"/>
              <w:rPr>
                <w:sz w:val="20"/>
                <w:szCs w:val="20"/>
              </w:rPr>
            </w:pPr>
            <w:r>
              <w:rPr>
                <w:sz w:val="20"/>
                <w:szCs w:val="20"/>
              </w:rPr>
              <w:t>7.60</w:t>
            </w:r>
          </w:p>
        </w:tc>
        <w:tc>
          <w:tcPr>
            <w:tcW w:w="810" w:type="dxa"/>
          </w:tcPr>
          <w:p w14:paraId="7E05D201" w14:textId="77777777" w:rsidR="00CA3973" w:rsidRDefault="00CA3973" w:rsidP="00CA3973">
            <w:pPr>
              <w:jc w:val="center"/>
              <w:rPr>
                <w:sz w:val="20"/>
                <w:szCs w:val="20"/>
              </w:rPr>
            </w:pPr>
          </w:p>
          <w:p w14:paraId="51D52A1F" w14:textId="05F5CA39" w:rsidR="00CA3973" w:rsidRPr="00CA3973" w:rsidRDefault="004546B7" w:rsidP="00CA3973">
            <w:pPr>
              <w:jc w:val="center"/>
              <w:rPr>
                <w:sz w:val="20"/>
                <w:szCs w:val="20"/>
              </w:rPr>
            </w:pPr>
            <w:r>
              <w:rPr>
                <w:sz w:val="20"/>
                <w:szCs w:val="20"/>
              </w:rPr>
              <w:t>32.20</w:t>
            </w:r>
          </w:p>
        </w:tc>
        <w:tc>
          <w:tcPr>
            <w:tcW w:w="1440" w:type="dxa"/>
          </w:tcPr>
          <w:p w14:paraId="4F545A8F" w14:textId="77777777" w:rsidR="00CA3973" w:rsidRDefault="00CA3973" w:rsidP="00CA3973">
            <w:pPr>
              <w:jc w:val="center"/>
              <w:rPr>
                <w:sz w:val="20"/>
                <w:szCs w:val="20"/>
              </w:rPr>
            </w:pPr>
          </w:p>
          <w:p w14:paraId="79BDCA8A" w14:textId="405671B1" w:rsidR="00CA3973" w:rsidRPr="00CA3973" w:rsidRDefault="00CA3973" w:rsidP="00CA3973">
            <w:pPr>
              <w:jc w:val="center"/>
              <w:rPr>
                <w:sz w:val="20"/>
                <w:szCs w:val="20"/>
              </w:rPr>
            </w:pPr>
            <w:r>
              <w:rPr>
                <w:sz w:val="20"/>
                <w:szCs w:val="20"/>
              </w:rPr>
              <w:t>0.01</w:t>
            </w:r>
          </w:p>
        </w:tc>
        <w:tc>
          <w:tcPr>
            <w:tcW w:w="1260" w:type="dxa"/>
          </w:tcPr>
          <w:p w14:paraId="41573D41" w14:textId="77777777" w:rsidR="00CA3973" w:rsidRDefault="00CA3973" w:rsidP="00CA3973">
            <w:pPr>
              <w:jc w:val="center"/>
              <w:rPr>
                <w:sz w:val="20"/>
                <w:szCs w:val="20"/>
              </w:rPr>
            </w:pPr>
          </w:p>
          <w:p w14:paraId="011003D4" w14:textId="2D8EE8D6" w:rsidR="00CA3973" w:rsidRPr="00CA3973" w:rsidRDefault="00E27B3A" w:rsidP="00CA3973">
            <w:pPr>
              <w:jc w:val="center"/>
              <w:rPr>
                <w:sz w:val="20"/>
                <w:szCs w:val="20"/>
              </w:rPr>
            </w:pPr>
            <w:r>
              <w:rPr>
                <w:sz w:val="20"/>
                <w:szCs w:val="20"/>
              </w:rPr>
              <w:t>0.</w:t>
            </w:r>
            <w:r w:rsidR="004546B7">
              <w:rPr>
                <w:sz w:val="20"/>
                <w:szCs w:val="20"/>
              </w:rPr>
              <w:t>74</w:t>
            </w:r>
          </w:p>
        </w:tc>
        <w:tc>
          <w:tcPr>
            <w:tcW w:w="1170" w:type="dxa"/>
          </w:tcPr>
          <w:p w14:paraId="06DD2174" w14:textId="77777777" w:rsidR="00CA3973" w:rsidRDefault="00CA3973" w:rsidP="00CA3973">
            <w:pPr>
              <w:jc w:val="center"/>
              <w:rPr>
                <w:sz w:val="20"/>
                <w:szCs w:val="20"/>
              </w:rPr>
            </w:pPr>
          </w:p>
          <w:p w14:paraId="5E6F7A83" w14:textId="4AD5CB17" w:rsidR="00CA3973" w:rsidRPr="00CA3973" w:rsidRDefault="00CA3973" w:rsidP="00CA3973">
            <w:pPr>
              <w:jc w:val="center"/>
              <w:rPr>
                <w:sz w:val="20"/>
                <w:szCs w:val="20"/>
              </w:rPr>
            </w:pPr>
            <w:r>
              <w:rPr>
                <w:sz w:val="20"/>
                <w:szCs w:val="20"/>
              </w:rPr>
              <w:t>1.45</w:t>
            </w:r>
          </w:p>
        </w:tc>
        <w:tc>
          <w:tcPr>
            <w:tcW w:w="895" w:type="dxa"/>
          </w:tcPr>
          <w:p w14:paraId="2EA51AA9" w14:textId="77777777" w:rsidR="00CA3973" w:rsidRDefault="00CA3973" w:rsidP="00CA3973">
            <w:pPr>
              <w:jc w:val="center"/>
              <w:rPr>
                <w:sz w:val="20"/>
                <w:szCs w:val="20"/>
              </w:rPr>
            </w:pPr>
          </w:p>
          <w:p w14:paraId="75BBCAA8" w14:textId="6C59086C" w:rsidR="00CA3973" w:rsidRPr="00CA3973" w:rsidRDefault="00CA3973" w:rsidP="00CA3973">
            <w:pPr>
              <w:jc w:val="center"/>
              <w:rPr>
                <w:sz w:val="20"/>
                <w:szCs w:val="20"/>
              </w:rPr>
            </w:pPr>
          </w:p>
        </w:tc>
      </w:tr>
      <w:tr w:rsidR="00CA3973" w:rsidRPr="00CA3973" w14:paraId="7AA51A0F" w14:textId="77777777" w:rsidTr="00CA3973">
        <w:trPr>
          <w:jc w:val="center"/>
        </w:trPr>
        <w:tc>
          <w:tcPr>
            <w:tcW w:w="1795" w:type="dxa"/>
          </w:tcPr>
          <w:p w14:paraId="698F8CA6" w14:textId="68231D6F" w:rsidR="00CA3973" w:rsidRPr="00CA3973" w:rsidRDefault="00CA3973" w:rsidP="00EE0108">
            <w:pPr>
              <w:rPr>
                <w:sz w:val="16"/>
                <w:szCs w:val="16"/>
              </w:rPr>
            </w:pPr>
            <w:r w:rsidRPr="00CA3973">
              <w:rPr>
                <w:sz w:val="16"/>
                <w:szCs w:val="16"/>
              </w:rPr>
              <w:t>Non-student Employees NOT</w:t>
            </w:r>
            <w:r w:rsidR="00EE0108">
              <w:rPr>
                <w:sz w:val="16"/>
                <w:szCs w:val="16"/>
              </w:rPr>
              <w:t xml:space="preserve"> </w:t>
            </w:r>
            <w:r w:rsidRPr="00CA3973">
              <w:rPr>
                <w:sz w:val="16"/>
                <w:szCs w:val="16"/>
              </w:rPr>
              <w:t>covered by SURS</w:t>
            </w:r>
          </w:p>
        </w:tc>
        <w:tc>
          <w:tcPr>
            <w:tcW w:w="810" w:type="dxa"/>
          </w:tcPr>
          <w:p w14:paraId="4313A042" w14:textId="31045F10" w:rsidR="00CA3973" w:rsidRPr="00EE0108" w:rsidRDefault="00EE0108" w:rsidP="00CA3973">
            <w:pPr>
              <w:jc w:val="center"/>
              <w:rPr>
                <w:b/>
                <w:sz w:val="20"/>
                <w:szCs w:val="20"/>
              </w:rPr>
            </w:pPr>
            <w:r w:rsidRPr="00EE0108">
              <w:rPr>
                <w:b/>
                <w:sz w:val="20"/>
                <w:szCs w:val="20"/>
              </w:rPr>
              <w:t>7.66</w:t>
            </w:r>
          </w:p>
        </w:tc>
        <w:tc>
          <w:tcPr>
            <w:tcW w:w="1170" w:type="dxa"/>
          </w:tcPr>
          <w:p w14:paraId="62F7E9A7" w14:textId="77777777" w:rsidR="00CA3973" w:rsidRPr="00CA3973" w:rsidRDefault="00CA3973" w:rsidP="00CA3973">
            <w:pPr>
              <w:jc w:val="center"/>
              <w:rPr>
                <w:sz w:val="20"/>
                <w:szCs w:val="20"/>
              </w:rPr>
            </w:pPr>
          </w:p>
        </w:tc>
        <w:tc>
          <w:tcPr>
            <w:tcW w:w="810" w:type="dxa"/>
          </w:tcPr>
          <w:p w14:paraId="5BCB982A" w14:textId="77777777" w:rsidR="00CA3973" w:rsidRPr="00CA3973" w:rsidRDefault="00CA3973" w:rsidP="00CA3973">
            <w:pPr>
              <w:jc w:val="center"/>
              <w:rPr>
                <w:sz w:val="20"/>
                <w:szCs w:val="20"/>
              </w:rPr>
            </w:pPr>
          </w:p>
        </w:tc>
        <w:tc>
          <w:tcPr>
            <w:tcW w:w="1440" w:type="dxa"/>
          </w:tcPr>
          <w:p w14:paraId="2C995DB3" w14:textId="72207CC9" w:rsidR="00CA3973" w:rsidRPr="00CA3973" w:rsidRDefault="00EE0108" w:rsidP="00CA3973">
            <w:pPr>
              <w:jc w:val="center"/>
              <w:rPr>
                <w:sz w:val="20"/>
                <w:szCs w:val="20"/>
              </w:rPr>
            </w:pPr>
            <w:r>
              <w:rPr>
                <w:sz w:val="20"/>
                <w:szCs w:val="20"/>
              </w:rPr>
              <w:t>0.01</w:t>
            </w:r>
          </w:p>
        </w:tc>
        <w:tc>
          <w:tcPr>
            <w:tcW w:w="1260" w:type="dxa"/>
          </w:tcPr>
          <w:p w14:paraId="12AC58B9" w14:textId="77777777" w:rsidR="00CA3973" w:rsidRPr="00CA3973" w:rsidRDefault="00CA3973" w:rsidP="00CA3973">
            <w:pPr>
              <w:jc w:val="center"/>
              <w:rPr>
                <w:sz w:val="20"/>
                <w:szCs w:val="20"/>
              </w:rPr>
            </w:pPr>
          </w:p>
        </w:tc>
        <w:tc>
          <w:tcPr>
            <w:tcW w:w="1170" w:type="dxa"/>
          </w:tcPr>
          <w:p w14:paraId="78D469A0" w14:textId="5D2CCEDE" w:rsidR="00CA3973" w:rsidRPr="00CA3973" w:rsidRDefault="00EE0108" w:rsidP="00CA3973">
            <w:pPr>
              <w:jc w:val="center"/>
              <w:rPr>
                <w:sz w:val="20"/>
                <w:szCs w:val="20"/>
              </w:rPr>
            </w:pPr>
            <w:r>
              <w:rPr>
                <w:sz w:val="20"/>
                <w:szCs w:val="20"/>
              </w:rPr>
              <w:t>1.45</w:t>
            </w:r>
          </w:p>
        </w:tc>
        <w:tc>
          <w:tcPr>
            <w:tcW w:w="895" w:type="dxa"/>
          </w:tcPr>
          <w:p w14:paraId="07E516B7" w14:textId="0B2A66D2" w:rsidR="00CA3973" w:rsidRPr="00CA3973" w:rsidRDefault="00EE0108" w:rsidP="00CA3973">
            <w:pPr>
              <w:jc w:val="center"/>
              <w:rPr>
                <w:sz w:val="20"/>
                <w:szCs w:val="20"/>
              </w:rPr>
            </w:pPr>
            <w:r>
              <w:rPr>
                <w:sz w:val="20"/>
                <w:szCs w:val="20"/>
              </w:rPr>
              <w:t>6.20</w:t>
            </w:r>
          </w:p>
        </w:tc>
      </w:tr>
      <w:tr w:rsidR="00CA3973" w:rsidRPr="00CA3973" w14:paraId="36483E6E" w14:textId="77777777" w:rsidTr="00CA3973">
        <w:trPr>
          <w:jc w:val="center"/>
        </w:trPr>
        <w:tc>
          <w:tcPr>
            <w:tcW w:w="1795" w:type="dxa"/>
          </w:tcPr>
          <w:p w14:paraId="29FD0F91" w14:textId="0164C243" w:rsidR="00CA3973" w:rsidRPr="00CA3973" w:rsidRDefault="00CA3973" w:rsidP="00EE0108">
            <w:pPr>
              <w:rPr>
                <w:sz w:val="16"/>
                <w:szCs w:val="16"/>
              </w:rPr>
            </w:pPr>
            <w:r w:rsidRPr="00CA3973">
              <w:rPr>
                <w:sz w:val="16"/>
                <w:szCs w:val="16"/>
              </w:rPr>
              <w:t>Graduate Assistants Enrolled</w:t>
            </w:r>
            <w:r w:rsidR="00EE0108">
              <w:rPr>
                <w:sz w:val="16"/>
                <w:szCs w:val="16"/>
              </w:rPr>
              <w:t xml:space="preserve"> </w:t>
            </w:r>
            <w:r w:rsidRPr="00CA3973">
              <w:rPr>
                <w:sz w:val="16"/>
                <w:szCs w:val="16"/>
              </w:rPr>
              <w:t>6 hours or More (Fall / Spring)</w:t>
            </w:r>
          </w:p>
          <w:p w14:paraId="2AE59867" w14:textId="3D2A9B5E" w:rsidR="00CA3973" w:rsidRPr="00CA3973" w:rsidRDefault="00CA3973" w:rsidP="00EE0108">
            <w:pPr>
              <w:rPr>
                <w:sz w:val="16"/>
                <w:szCs w:val="16"/>
              </w:rPr>
            </w:pPr>
            <w:r w:rsidRPr="00CA3973">
              <w:rPr>
                <w:sz w:val="16"/>
                <w:szCs w:val="16"/>
              </w:rPr>
              <w:t>Or Enrolled 3 hours or More</w:t>
            </w:r>
            <w:r w:rsidR="00EE0108">
              <w:rPr>
                <w:sz w:val="16"/>
                <w:szCs w:val="16"/>
              </w:rPr>
              <w:t xml:space="preserve"> </w:t>
            </w:r>
            <w:r w:rsidRPr="00CA3973">
              <w:rPr>
                <w:sz w:val="16"/>
                <w:szCs w:val="16"/>
              </w:rPr>
              <w:t>(Summer)</w:t>
            </w:r>
          </w:p>
        </w:tc>
        <w:tc>
          <w:tcPr>
            <w:tcW w:w="810" w:type="dxa"/>
          </w:tcPr>
          <w:p w14:paraId="61E33D76" w14:textId="77777777" w:rsidR="00EE0108" w:rsidRPr="00EE0108" w:rsidRDefault="00EE0108" w:rsidP="00CA3973">
            <w:pPr>
              <w:jc w:val="center"/>
              <w:rPr>
                <w:b/>
                <w:sz w:val="20"/>
                <w:szCs w:val="20"/>
              </w:rPr>
            </w:pPr>
          </w:p>
          <w:p w14:paraId="45147113" w14:textId="5684E034" w:rsidR="00CA3973" w:rsidRPr="00EE0108" w:rsidRDefault="004546B7" w:rsidP="00CA3973">
            <w:pPr>
              <w:jc w:val="center"/>
              <w:rPr>
                <w:b/>
                <w:sz w:val="20"/>
                <w:szCs w:val="20"/>
              </w:rPr>
            </w:pPr>
            <w:r>
              <w:rPr>
                <w:b/>
                <w:sz w:val="20"/>
                <w:szCs w:val="20"/>
              </w:rPr>
              <w:t>10.35</w:t>
            </w:r>
          </w:p>
        </w:tc>
        <w:tc>
          <w:tcPr>
            <w:tcW w:w="1170" w:type="dxa"/>
          </w:tcPr>
          <w:p w14:paraId="3C42AE95" w14:textId="77777777" w:rsidR="00CA3973" w:rsidRPr="00CA3973" w:rsidRDefault="00CA3973" w:rsidP="00CA3973">
            <w:pPr>
              <w:jc w:val="center"/>
              <w:rPr>
                <w:sz w:val="20"/>
                <w:szCs w:val="20"/>
              </w:rPr>
            </w:pPr>
          </w:p>
        </w:tc>
        <w:tc>
          <w:tcPr>
            <w:tcW w:w="810" w:type="dxa"/>
          </w:tcPr>
          <w:p w14:paraId="21CBE871" w14:textId="77777777" w:rsidR="00EE0108" w:rsidRDefault="00EE0108" w:rsidP="00CA3973">
            <w:pPr>
              <w:jc w:val="center"/>
              <w:rPr>
                <w:sz w:val="20"/>
                <w:szCs w:val="20"/>
              </w:rPr>
            </w:pPr>
          </w:p>
          <w:p w14:paraId="65306B4F" w14:textId="49B91F7E" w:rsidR="00CA3973" w:rsidRPr="00CA3973" w:rsidRDefault="004546B7" w:rsidP="00CA3973">
            <w:pPr>
              <w:jc w:val="center"/>
              <w:rPr>
                <w:sz w:val="20"/>
                <w:szCs w:val="20"/>
              </w:rPr>
            </w:pPr>
            <w:r>
              <w:rPr>
                <w:sz w:val="20"/>
                <w:szCs w:val="20"/>
              </w:rPr>
              <w:t>10.34</w:t>
            </w:r>
          </w:p>
        </w:tc>
        <w:tc>
          <w:tcPr>
            <w:tcW w:w="1440" w:type="dxa"/>
          </w:tcPr>
          <w:p w14:paraId="0A7F5E9C" w14:textId="77777777" w:rsidR="00CA3973" w:rsidRDefault="00CA3973" w:rsidP="00CA3973">
            <w:pPr>
              <w:jc w:val="center"/>
              <w:rPr>
                <w:sz w:val="20"/>
                <w:szCs w:val="20"/>
              </w:rPr>
            </w:pPr>
          </w:p>
          <w:p w14:paraId="0D91A618" w14:textId="2FEB712F" w:rsidR="00EE0108" w:rsidRPr="00CA3973" w:rsidRDefault="00EE0108" w:rsidP="00CA3973">
            <w:pPr>
              <w:jc w:val="center"/>
              <w:rPr>
                <w:sz w:val="20"/>
                <w:szCs w:val="20"/>
              </w:rPr>
            </w:pPr>
            <w:r>
              <w:rPr>
                <w:sz w:val="20"/>
                <w:szCs w:val="20"/>
              </w:rPr>
              <w:t>0.01</w:t>
            </w:r>
          </w:p>
        </w:tc>
        <w:tc>
          <w:tcPr>
            <w:tcW w:w="1260" w:type="dxa"/>
          </w:tcPr>
          <w:p w14:paraId="279DABE1" w14:textId="77777777" w:rsidR="00CA3973" w:rsidRPr="00CA3973" w:rsidRDefault="00CA3973" w:rsidP="00CA3973">
            <w:pPr>
              <w:jc w:val="center"/>
              <w:rPr>
                <w:sz w:val="20"/>
                <w:szCs w:val="20"/>
              </w:rPr>
            </w:pPr>
          </w:p>
        </w:tc>
        <w:tc>
          <w:tcPr>
            <w:tcW w:w="1170" w:type="dxa"/>
          </w:tcPr>
          <w:p w14:paraId="66D7A350" w14:textId="77777777" w:rsidR="00CA3973" w:rsidRPr="00CA3973" w:rsidRDefault="00CA3973" w:rsidP="00CA3973">
            <w:pPr>
              <w:jc w:val="center"/>
              <w:rPr>
                <w:sz w:val="20"/>
                <w:szCs w:val="20"/>
              </w:rPr>
            </w:pPr>
          </w:p>
        </w:tc>
        <w:tc>
          <w:tcPr>
            <w:tcW w:w="895" w:type="dxa"/>
          </w:tcPr>
          <w:p w14:paraId="79A12653" w14:textId="77777777" w:rsidR="00CA3973" w:rsidRPr="00CA3973" w:rsidRDefault="00CA3973" w:rsidP="00CA3973">
            <w:pPr>
              <w:jc w:val="center"/>
              <w:rPr>
                <w:sz w:val="20"/>
                <w:szCs w:val="20"/>
              </w:rPr>
            </w:pPr>
          </w:p>
        </w:tc>
      </w:tr>
      <w:tr w:rsidR="00CA3973" w:rsidRPr="00CA3973" w14:paraId="567641FD" w14:textId="77777777" w:rsidTr="00CA3973">
        <w:trPr>
          <w:jc w:val="center"/>
        </w:trPr>
        <w:tc>
          <w:tcPr>
            <w:tcW w:w="1795" w:type="dxa"/>
          </w:tcPr>
          <w:p w14:paraId="25C89C2E" w14:textId="480D181E" w:rsidR="00CA3973" w:rsidRPr="00CA3973" w:rsidRDefault="00CA3973" w:rsidP="00EE0108">
            <w:pPr>
              <w:rPr>
                <w:sz w:val="16"/>
                <w:szCs w:val="16"/>
              </w:rPr>
            </w:pPr>
            <w:r w:rsidRPr="00CA3973">
              <w:rPr>
                <w:sz w:val="16"/>
                <w:szCs w:val="16"/>
              </w:rPr>
              <w:t>Graduate Assistants Enrolled</w:t>
            </w:r>
            <w:r w:rsidR="00EE0108">
              <w:rPr>
                <w:sz w:val="16"/>
                <w:szCs w:val="16"/>
              </w:rPr>
              <w:t xml:space="preserve"> </w:t>
            </w:r>
            <w:r w:rsidRPr="00CA3973">
              <w:rPr>
                <w:sz w:val="16"/>
                <w:szCs w:val="16"/>
              </w:rPr>
              <w:t>less than 6 hours (Fall / Spring)</w:t>
            </w:r>
          </w:p>
          <w:p w14:paraId="0C8FDA9B" w14:textId="4A2C9F49" w:rsidR="00CA3973" w:rsidRPr="00CA3973" w:rsidRDefault="00CA3973" w:rsidP="00EE0108">
            <w:pPr>
              <w:rPr>
                <w:sz w:val="16"/>
                <w:szCs w:val="16"/>
              </w:rPr>
            </w:pPr>
            <w:r w:rsidRPr="00CA3973">
              <w:rPr>
                <w:sz w:val="16"/>
                <w:szCs w:val="16"/>
              </w:rPr>
              <w:t>Or Enrolled less than 3 hours</w:t>
            </w:r>
            <w:r w:rsidR="00EE0108">
              <w:rPr>
                <w:sz w:val="16"/>
                <w:szCs w:val="16"/>
              </w:rPr>
              <w:t xml:space="preserve"> </w:t>
            </w:r>
            <w:r w:rsidRPr="00CA3973">
              <w:rPr>
                <w:sz w:val="16"/>
                <w:szCs w:val="16"/>
              </w:rPr>
              <w:t xml:space="preserve">(Summer) </w:t>
            </w:r>
          </w:p>
        </w:tc>
        <w:tc>
          <w:tcPr>
            <w:tcW w:w="810" w:type="dxa"/>
          </w:tcPr>
          <w:p w14:paraId="495D9D25" w14:textId="77777777" w:rsidR="00CA3973" w:rsidRPr="00EE0108" w:rsidRDefault="00CA3973" w:rsidP="00CA3973">
            <w:pPr>
              <w:jc w:val="center"/>
              <w:rPr>
                <w:b/>
                <w:sz w:val="20"/>
                <w:szCs w:val="20"/>
              </w:rPr>
            </w:pPr>
          </w:p>
          <w:p w14:paraId="05C21B38" w14:textId="0D9E9026" w:rsidR="00EE0108" w:rsidRPr="00EE0108" w:rsidRDefault="004546B7" w:rsidP="00CA3973">
            <w:pPr>
              <w:jc w:val="center"/>
              <w:rPr>
                <w:b/>
                <w:sz w:val="20"/>
                <w:szCs w:val="20"/>
              </w:rPr>
            </w:pPr>
            <w:r>
              <w:rPr>
                <w:b/>
                <w:sz w:val="20"/>
                <w:szCs w:val="20"/>
              </w:rPr>
              <w:t>18</w:t>
            </w:r>
          </w:p>
        </w:tc>
        <w:tc>
          <w:tcPr>
            <w:tcW w:w="1170" w:type="dxa"/>
          </w:tcPr>
          <w:p w14:paraId="029ADB96" w14:textId="77777777" w:rsidR="00CA3973" w:rsidRPr="00CA3973" w:rsidRDefault="00CA3973" w:rsidP="00CA3973">
            <w:pPr>
              <w:jc w:val="center"/>
              <w:rPr>
                <w:sz w:val="20"/>
                <w:szCs w:val="20"/>
              </w:rPr>
            </w:pPr>
          </w:p>
        </w:tc>
        <w:tc>
          <w:tcPr>
            <w:tcW w:w="810" w:type="dxa"/>
          </w:tcPr>
          <w:p w14:paraId="2A857570" w14:textId="77777777" w:rsidR="00CA3973" w:rsidRDefault="00CA3973" w:rsidP="00CA3973">
            <w:pPr>
              <w:jc w:val="center"/>
              <w:rPr>
                <w:sz w:val="20"/>
                <w:szCs w:val="20"/>
              </w:rPr>
            </w:pPr>
          </w:p>
          <w:p w14:paraId="09E6AB5D" w14:textId="449E7EDD" w:rsidR="00EE0108" w:rsidRPr="00CA3973" w:rsidRDefault="004546B7" w:rsidP="00CA3973">
            <w:pPr>
              <w:jc w:val="center"/>
              <w:rPr>
                <w:sz w:val="20"/>
                <w:szCs w:val="20"/>
              </w:rPr>
            </w:pPr>
            <w:r>
              <w:rPr>
                <w:sz w:val="20"/>
                <w:szCs w:val="20"/>
              </w:rPr>
              <w:t>10.34</w:t>
            </w:r>
          </w:p>
        </w:tc>
        <w:tc>
          <w:tcPr>
            <w:tcW w:w="1440" w:type="dxa"/>
          </w:tcPr>
          <w:p w14:paraId="1FEF7AB9" w14:textId="77777777" w:rsidR="00CA3973" w:rsidRDefault="00CA3973" w:rsidP="00CA3973">
            <w:pPr>
              <w:jc w:val="center"/>
              <w:rPr>
                <w:sz w:val="20"/>
                <w:szCs w:val="20"/>
              </w:rPr>
            </w:pPr>
          </w:p>
          <w:p w14:paraId="7148C628" w14:textId="014CBE13" w:rsidR="00EE0108" w:rsidRPr="00CA3973" w:rsidRDefault="00EE0108" w:rsidP="00CA3973">
            <w:pPr>
              <w:jc w:val="center"/>
              <w:rPr>
                <w:sz w:val="20"/>
                <w:szCs w:val="20"/>
              </w:rPr>
            </w:pPr>
            <w:r>
              <w:rPr>
                <w:sz w:val="20"/>
                <w:szCs w:val="20"/>
              </w:rPr>
              <w:t>0.01</w:t>
            </w:r>
          </w:p>
        </w:tc>
        <w:tc>
          <w:tcPr>
            <w:tcW w:w="1260" w:type="dxa"/>
          </w:tcPr>
          <w:p w14:paraId="0FE6E649" w14:textId="77777777" w:rsidR="00CA3973" w:rsidRPr="00CA3973" w:rsidRDefault="00CA3973" w:rsidP="00CA3973">
            <w:pPr>
              <w:jc w:val="center"/>
              <w:rPr>
                <w:sz w:val="20"/>
                <w:szCs w:val="20"/>
              </w:rPr>
            </w:pPr>
          </w:p>
        </w:tc>
        <w:tc>
          <w:tcPr>
            <w:tcW w:w="1170" w:type="dxa"/>
          </w:tcPr>
          <w:p w14:paraId="2C2D7AA4" w14:textId="77777777" w:rsidR="00CA3973" w:rsidRDefault="00CA3973" w:rsidP="00CA3973">
            <w:pPr>
              <w:jc w:val="center"/>
              <w:rPr>
                <w:sz w:val="20"/>
                <w:szCs w:val="20"/>
              </w:rPr>
            </w:pPr>
          </w:p>
          <w:p w14:paraId="281D2928" w14:textId="0A710BC1" w:rsidR="00EE0108" w:rsidRPr="00CA3973" w:rsidRDefault="00EE0108" w:rsidP="00CA3973">
            <w:pPr>
              <w:jc w:val="center"/>
              <w:rPr>
                <w:sz w:val="20"/>
                <w:szCs w:val="20"/>
              </w:rPr>
            </w:pPr>
            <w:r>
              <w:rPr>
                <w:sz w:val="20"/>
                <w:szCs w:val="20"/>
              </w:rPr>
              <w:t>1.45</w:t>
            </w:r>
          </w:p>
        </w:tc>
        <w:tc>
          <w:tcPr>
            <w:tcW w:w="895" w:type="dxa"/>
          </w:tcPr>
          <w:p w14:paraId="02D6E2E1" w14:textId="77777777" w:rsidR="00CA3973" w:rsidRDefault="00CA3973" w:rsidP="00CA3973">
            <w:pPr>
              <w:jc w:val="center"/>
              <w:rPr>
                <w:sz w:val="20"/>
                <w:szCs w:val="20"/>
              </w:rPr>
            </w:pPr>
          </w:p>
          <w:p w14:paraId="01C0A493" w14:textId="5C30DE91" w:rsidR="00EE0108" w:rsidRPr="00CA3973" w:rsidRDefault="00EE0108" w:rsidP="00CA3973">
            <w:pPr>
              <w:jc w:val="center"/>
              <w:rPr>
                <w:sz w:val="20"/>
                <w:szCs w:val="20"/>
              </w:rPr>
            </w:pPr>
            <w:r>
              <w:rPr>
                <w:sz w:val="20"/>
                <w:szCs w:val="20"/>
              </w:rPr>
              <w:t>6.20</w:t>
            </w:r>
          </w:p>
        </w:tc>
      </w:tr>
      <w:tr w:rsidR="00CA3973" w:rsidRPr="00CA3973" w14:paraId="398EBE5D" w14:textId="77777777" w:rsidTr="00CA3973">
        <w:trPr>
          <w:jc w:val="center"/>
        </w:trPr>
        <w:tc>
          <w:tcPr>
            <w:tcW w:w="1795" w:type="dxa"/>
          </w:tcPr>
          <w:p w14:paraId="11485FE3" w14:textId="5AE2A6D9" w:rsidR="00CA3973" w:rsidRPr="00CA3973" w:rsidRDefault="00CA3973" w:rsidP="00EE0108">
            <w:pPr>
              <w:rPr>
                <w:sz w:val="16"/>
                <w:szCs w:val="16"/>
              </w:rPr>
            </w:pPr>
            <w:r w:rsidRPr="00CA3973">
              <w:rPr>
                <w:sz w:val="16"/>
                <w:szCs w:val="16"/>
              </w:rPr>
              <w:t>Students Enrolled 6 hours or</w:t>
            </w:r>
            <w:r w:rsidR="00EE0108">
              <w:rPr>
                <w:sz w:val="16"/>
                <w:szCs w:val="16"/>
              </w:rPr>
              <w:t xml:space="preserve"> </w:t>
            </w:r>
            <w:r w:rsidRPr="00CA3973">
              <w:rPr>
                <w:sz w:val="16"/>
                <w:szCs w:val="16"/>
              </w:rPr>
              <w:t>More (Fall / Spring) Or Enrolled</w:t>
            </w:r>
          </w:p>
          <w:p w14:paraId="11CE75A9" w14:textId="2093438F" w:rsidR="00CA3973" w:rsidRPr="00CA3973" w:rsidRDefault="00CA3973" w:rsidP="00EE0108">
            <w:pPr>
              <w:rPr>
                <w:sz w:val="16"/>
                <w:szCs w:val="16"/>
              </w:rPr>
            </w:pPr>
            <w:r w:rsidRPr="00CA3973">
              <w:rPr>
                <w:sz w:val="16"/>
                <w:szCs w:val="16"/>
              </w:rPr>
              <w:t>3 hours or More (Summer)</w:t>
            </w:r>
          </w:p>
        </w:tc>
        <w:tc>
          <w:tcPr>
            <w:tcW w:w="810" w:type="dxa"/>
          </w:tcPr>
          <w:p w14:paraId="4BBD84C3" w14:textId="77777777" w:rsidR="00CA3973" w:rsidRPr="00EE0108" w:rsidRDefault="00CA3973" w:rsidP="00CA3973">
            <w:pPr>
              <w:jc w:val="center"/>
              <w:rPr>
                <w:b/>
                <w:sz w:val="20"/>
                <w:szCs w:val="20"/>
              </w:rPr>
            </w:pPr>
          </w:p>
          <w:p w14:paraId="38848A58" w14:textId="62572CA1" w:rsidR="00EE0108" w:rsidRPr="00EE0108" w:rsidRDefault="00EE0108" w:rsidP="00CA3973">
            <w:pPr>
              <w:jc w:val="center"/>
              <w:rPr>
                <w:b/>
                <w:sz w:val="20"/>
                <w:szCs w:val="20"/>
              </w:rPr>
            </w:pPr>
            <w:r w:rsidRPr="00EE0108">
              <w:rPr>
                <w:b/>
                <w:sz w:val="20"/>
                <w:szCs w:val="20"/>
              </w:rPr>
              <w:t>0.01</w:t>
            </w:r>
          </w:p>
        </w:tc>
        <w:tc>
          <w:tcPr>
            <w:tcW w:w="1170" w:type="dxa"/>
          </w:tcPr>
          <w:p w14:paraId="4FBC236A" w14:textId="77777777" w:rsidR="00CA3973" w:rsidRPr="00CA3973" w:rsidRDefault="00CA3973" w:rsidP="00CA3973">
            <w:pPr>
              <w:jc w:val="center"/>
              <w:rPr>
                <w:sz w:val="20"/>
                <w:szCs w:val="20"/>
              </w:rPr>
            </w:pPr>
          </w:p>
        </w:tc>
        <w:tc>
          <w:tcPr>
            <w:tcW w:w="810" w:type="dxa"/>
          </w:tcPr>
          <w:p w14:paraId="7FA7845A" w14:textId="77777777" w:rsidR="00CA3973" w:rsidRPr="00CA3973" w:rsidRDefault="00CA3973" w:rsidP="00CA3973">
            <w:pPr>
              <w:jc w:val="center"/>
              <w:rPr>
                <w:sz w:val="20"/>
                <w:szCs w:val="20"/>
              </w:rPr>
            </w:pPr>
          </w:p>
        </w:tc>
        <w:tc>
          <w:tcPr>
            <w:tcW w:w="1440" w:type="dxa"/>
          </w:tcPr>
          <w:p w14:paraId="7044CBAE" w14:textId="77777777" w:rsidR="00CA3973" w:rsidRDefault="00CA3973" w:rsidP="00CA3973">
            <w:pPr>
              <w:jc w:val="center"/>
              <w:rPr>
                <w:sz w:val="20"/>
                <w:szCs w:val="20"/>
              </w:rPr>
            </w:pPr>
          </w:p>
          <w:p w14:paraId="588D71A5" w14:textId="253DCBE3" w:rsidR="00EE0108" w:rsidRPr="00CA3973" w:rsidRDefault="00EE0108" w:rsidP="00CA3973">
            <w:pPr>
              <w:jc w:val="center"/>
              <w:rPr>
                <w:sz w:val="20"/>
                <w:szCs w:val="20"/>
              </w:rPr>
            </w:pPr>
            <w:r>
              <w:rPr>
                <w:sz w:val="20"/>
                <w:szCs w:val="20"/>
              </w:rPr>
              <w:t>0.01</w:t>
            </w:r>
          </w:p>
        </w:tc>
        <w:tc>
          <w:tcPr>
            <w:tcW w:w="1260" w:type="dxa"/>
          </w:tcPr>
          <w:p w14:paraId="454DB802" w14:textId="77777777" w:rsidR="00CA3973" w:rsidRPr="00CA3973" w:rsidRDefault="00CA3973" w:rsidP="00CA3973">
            <w:pPr>
              <w:jc w:val="center"/>
              <w:rPr>
                <w:sz w:val="20"/>
                <w:szCs w:val="20"/>
              </w:rPr>
            </w:pPr>
          </w:p>
        </w:tc>
        <w:tc>
          <w:tcPr>
            <w:tcW w:w="1170" w:type="dxa"/>
          </w:tcPr>
          <w:p w14:paraId="5199023C" w14:textId="77777777" w:rsidR="00CA3973" w:rsidRPr="00CA3973" w:rsidRDefault="00CA3973" w:rsidP="00CA3973">
            <w:pPr>
              <w:jc w:val="center"/>
              <w:rPr>
                <w:sz w:val="20"/>
                <w:szCs w:val="20"/>
              </w:rPr>
            </w:pPr>
          </w:p>
        </w:tc>
        <w:tc>
          <w:tcPr>
            <w:tcW w:w="895" w:type="dxa"/>
          </w:tcPr>
          <w:p w14:paraId="75F7AC02" w14:textId="77777777" w:rsidR="00CA3973" w:rsidRPr="00CA3973" w:rsidRDefault="00CA3973" w:rsidP="00CA3973">
            <w:pPr>
              <w:jc w:val="center"/>
              <w:rPr>
                <w:sz w:val="20"/>
                <w:szCs w:val="20"/>
              </w:rPr>
            </w:pPr>
          </w:p>
        </w:tc>
      </w:tr>
      <w:tr w:rsidR="00CA3973" w:rsidRPr="00CA3973" w14:paraId="51008708" w14:textId="77777777" w:rsidTr="00CA3973">
        <w:trPr>
          <w:jc w:val="center"/>
        </w:trPr>
        <w:tc>
          <w:tcPr>
            <w:tcW w:w="1795" w:type="dxa"/>
          </w:tcPr>
          <w:p w14:paraId="2AD9C2E0" w14:textId="62E6F32D" w:rsidR="00CA3973" w:rsidRPr="00CA3973" w:rsidRDefault="00CA3973" w:rsidP="00EE0108">
            <w:pPr>
              <w:rPr>
                <w:sz w:val="16"/>
                <w:szCs w:val="16"/>
              </w:rPr>
            </w:pPr>
            <w:r w:rsidRPr="00CA3973">
              <w:rPr>
                <w:sz w:val="16"/>
                <w:szCs w:val="16"/>
              </w:rPr>
              <w:t>Students Enrolled less than 6</w:t>
            </w:r>
            <w:r w:rsidR="00EE0108">
              <w:rPr>
                <w:sz w:val="16"/>
                <w:szCs w:val="16"/>
              </w:rPr>
              <w:t xml:space="preserve"> </w:t>
            </w:r>
            <w:r w:rsidRPr="00CA3973">
              <w:rPr>
                <w:sz w:val="16"/>
                <w:szCs w:val="16"/>
              </w:rPr>
              <w:t>hours (Fall / Spring) Or Enrolled</w:t>
            </w:r>
          </w:p>
          <w:p w14:paraId="5387ED73" w14:textId="28D9EECC" w:rsidR="00CA3973" w:rsidRPr="00CA3973" w:rsidRDefault="00EE0108" w:rsidP="00EE0108">
            <w:pPr>
              <w:rPr>
                <w:sz w:val="16"/>
                <w:szCs w:val="16"/>
              </w:rPr>
            </w:pPr>
            <w:r>
              <w:rPr>
                <w:sz w:val="16"/>
                <w:szCs w:val="16"/>
              </w:rPr>
              <w:t xml:space="preserve">less than 3 hours </w:t>
            </w:r>
            <w:r w:rsidR="00CA3973" w:rsidRPr="00CA3973">
              <w:rPr>
                <w:sz w:val="16"/>
                <w:szCs w:val="16"/>
              </w:rPr>
              <w:t xml:space="preserve">(Summer) </w:t>
            </w:r>
          </w:p>
        </w:tc>
        <w:tc>
          <w:tcPr>
            <w:tcW w:w="810" w:type="dxa"/>
          </w:tcPr>
          <w:p w14:paraId="70E2700A" w14:textId="77777777" w:rsidR="00CA3973" w:rsidRPr="00EE0108" w:rsidRDefault="00CA3973" w:rsidP="00CA3973">
            <w:pPr>
              <w:jc w:val="center"/>
              <w:rPr>
                <w:b/>
                <w:sz w:val="20"/>
                <w:szCs w:val="20"/>
              </w:rPr>
            </w:pPr>
          </w:p>
          <w:p w14:paraId="20AD319E" w14:textId="22C2AADE" w:rsidR="00EE0108" w:rsidRPr="00EE0108" w:rsidRDefault="00EE0108" w:rsidP="00CA3973">
            <w:pPr>
              <w:jc w:val="center"/>
              <w:rPr>
                <w:b/>
                <w:sz w:val="20"/>
                <w:szCs w:val="20"/>
              </w:rPr>
            </w:pPr>
            <w:r w:rsidRPr="00EE0108">
              <w:rPr>
                <w:b/>
                <w:sz w:val="20"/>
                <w:szCs w:val="20"/>
              </w:rPr>
              <w:t>7.66</w:t>
            </w:r>
          </w:p>
        </w:tc>
        <w:tc>
          <w:tcPr>
            <w:tcW w:w="1170" w:type="dxa"/>
          </w:tcPr>
          <w:p w14:paraId="2F552FE6" w14:textId="77777777" w:rsidR="00CA3973" w:rsidRPr="00CA3973" w:rsidRDefault="00CA3973" w:rsidP="00CA3973">
            <w:pPr>
              <w:jc w:val="center"/>
              <w:rPr>
                <w:sz w:val="20"/>
                <w:szCs w:val="20"/>
              </w:rPr>
            </w:pPr>
          </w:p>
        </w:tc>
        <w:tc>
          <w:tcPr>
            <w:tcW w:w="810" w:type="dxa"/>
          </w:tcPr>
          <w:p w14:paraId="721B588D" w14:textId="77777777" w:rsidR="00CA3973" w:rsidRPr="00CA3973" w:rsidRDefault="00CA3973" w:rsidP="00CA3973">
            <w:pPr>
              <w:jc w:val="center"/>
              <w:rPr>
                <w:sz w:val="20"/>
                <w:szCs w:val="20"/>
              </w:rPr>
            </w:pPr>
          </w:p>
        </w:tc>
        <w:tc>
          <w:tcPr>
            <w:tcW w:w="1440" w:type="dxa"/>
          </w:tcPr>
          <w:p w14:paraId="2A469D40" w14:textId="77777777" w:rsidR="00CA3973" w:rsidRDefault="00CA3973" w:rsidP="00CA3973">
            <w:pPr>
              <w:jc w:val="center"/>
              <w:rPr>
                <w:sz w:val="20"/>
                <w:szCs w:val="20"/>
              </w:rPr>
            </w:pPr>
          </w:p>
          <w:p w14:paraId="1E211CCD" w14:textId="629EC94B" w:rsidR="00EE0108" w:rsidRPr="00CA3973" w:rsidRDefault="00EE0108" w:rsidP="00CA3973">
            <w:pPr>
              <w:jc w:val="center"/>
              <w:rPr>
                <w:sz w:val="20"/>
                <w:szCs w:val="20"/>
              </w:rPr>
            </w:pPr>
            <w:r>
              <w:rPr>
                <w:sz w:val="20"/>
                <w:szCs w:val="20"/>
              </w:rPr>
              <w:t>0.01</w:t>
            </w:r>
          </w:p>
        </w:tc>
        <w:tc>
          <w:tcPr>
            <w:tcW w:w="1260" w:type="dxa"/>
          </w:tcPr>
          <w:p w14:paraId="775A9672" w14:textId="77777777" w:rsidR="00CA3973" w:rsidRPr="00CA3973" w:rsidRDefault="00CA3973" w:rsidP="00CA3973">
            <w:pPr>
              <w:jc w:val="center"/>
              <w:rPr>
                <w:sz w:val="20"/>
                <w:szCs w:val="20"/>
              </w:rPr>
            </w:pPr>
          </w:p>
        </w:tc>
        <w:tc>
          <w:tcPr>
            <w:tcW w:w="1170" w:type="dxa"/>
          </w:tcPr>
          <w:p w14:paraId="26230B7A" w14:textId="77777777" w:rsidR="00CA3973" w:rsidRDefault="00CA3973" w:rsidP="00CA3973">
            <w:pPr>
              <w:jc w:val="center"/>
              <w:rPr>
                <w:sz w:val="20"/>
                <w:szCs w:val="20"/>
              </w:rPr>
            </w:pPr>
          </w:p>
          <w:p w14:paraId="694A9989" w14:textId="2603F2E6" w:rsidR="00EE0108" w:rsidRPr="00CA3973" w:rsidRDefault="00EE0108" w:rsidP="00CA3973">
            <w:pPr>
              <w:jc w:val="center"/>
              <w:rPr>
                <w:sz w:val="20"/>
                <w:szCs w:val="20"/>
              </w:rPr>
            </w:pPr>
            <w:r>
              <w:rPr>
                <w:sz w:val="20"/>
                <w:szCs w:val="20"/>
              </w:rPr>
              <w:t>1.45</w:t>
            </w:r>
          </w:p>
        </w:tc>
        <w:tc>
          <w:tcPr>
            <w:tcW w:w="895" w:type="dxa"/>
          </w:tcPr>
          <w:p w14:paraId="5213F36D" w14:textId="77777777" w:rsidR="00CA3973" w:rsidRDefault="00CA3973" w:rsidP="00CA3973">
            <w:pPr>
              <w:jc w:val="center"/>
              <w:rPr>
                <w:sz w:val="20"/>
                <w:szCs w:val="20"/>
              </w:rPr>
            </w:pPr>
          </w:p>
          <w:p w14:paraId="6DF0FC00" w14:textId="5F9E7A45" w:rsidR="00EE0108" w:rsidRPr="00CA3973" w:rsidRDefault="00EE0108" w:rsidP="00CA3973">
            <w:pPr>
              <w:jc w:val="center"/>
              <w:rPr>
                <w:sz w:val="20"/>
                <w:szCs w:val="20"/>
              </w:rPr>
            </w:pPr>
            <w:r>
              <w:rPr>
                <w:sz w:val="20"/>
                <w:szCs w:val="20"/>
              </w:rPr>
              <w:t>6.20</w:t>
            </w:r>
          </w:p>
        </w:tc>
      </w:tr>
    </w:tbl>
    <w:p w14:paraId="72711133" w14:textId="01048460" w:rsidR="007E7B5F" w:rsidRPr="00EE0108" w:rsidRDefault="007E7B5F" w:rsidP="00DF43D2">
      <w:pPr>
        <w:jc w:val="both"/>
      </w:pPr>
    </w:p>
    <w:p w14:paraId="15D81F24" w14:textId="77777777" w:rsidR="00E0486B" w:rsidRPr="001778AC" w:rsidRDefault="004A065D" w:rsidP="00DF43D2">
      <w:pPr>
        <w:jc w:val="both"/>
        <w:rPr>
          <w:b/>
        </w:rPr>
      </w:pPr>
      <w:r w:rsidRPr="001778AC">
        <w:rPr>
          <w:b/>
        </w:rPr>
        <w:t>Equipment</w:t>
      </w:r>
    </w:p>
    <w:p w14:paraId="38C402C7" w14:textId="284262E1" w:rsidR="00DA29D2" w:rsidRPr="001778AC" w:rsidRDefault="00DA29D2" w:rsidP="00DF43D2">
      <w:pPr>
        <w:jc w:val="both"/>
        <w:rPr>
          <w:i/>
        </w:rPr>
      </w:pPr>
      <w:r w:rsidRPr="001778AC">
        <w:rPr>
          <w:i/>
        </w:rPr>
        <w:t>Capital Equipment (or Permanent Equipment) is defined as a piece of equipment (or the fabrication of a piece of equipment) with (a) a useful life of one year or more and (b) an acquisition cost of $5,000 or more. Describe the benefit to the project or the specific need for equipment</w:t>
      </w:r>
    </w:p>
    <w:p w14:paraId="2DA5C256" w14:textId="4BA5F565" w:rsidR="00DA29D2" w:rsidRPr="001778AC" w:rsidRDefault="00DA29D2" w:rsidP="00DF43D2">
      <w:pPr>
        <w:jc w:val="both"/>
        <w:rPr>
          <w:i/>
        </w:rPr>
      </w:pPr>
      <w:r w:rsidRPr="001778AC">
        <w:rPr>
          <w:i/>
        </w:rPr>
        <w:t>proposed. When proposing fabricated equipment costs, provide a cost analysis of the estimated labor, materials, and other costs associated with the equipment fabrication and retain supporting documentation used to develop the cost analysis. Describe the method used to estimate equipment expenses (e.g., catalog prices, vendor quotes, etc.) including how inflationary factors were determined and applied in multi-year budgets.</w:t>
      </w:r>
    </w:p>
    <w:p w14:paraId="6D85459A" w14:textId="77777777" w:rsidR="00DA29D2" w:rsidRPr="001778AC" w:rsidRDefault="00DA29D2" w:rsidP="00DF43D2">
      <w:pPr>
        <w:jc w:val="both"/>
        <w:rPr>
          <w:i/>
        </w:rPr>
      </w:pPr>
    </w:p>
    <w:p w14:paraId="382AE4ED" w14:textId="68C3A502" w:rsidR="00D9152E" w:rsidRPr="001778AC" w:rsidRDefault="00D9152E" w:rsidP="00DF43D2">
      <w:pPr>
        <w:jc w:val="both"/>
        <w:rPr>
          <w:b/>
        </w:rPr>
      </w:pPr>
      <w:r w:rsidRPr="001778AC">
        <w:rPr>
          <w:b/>
        </w:rPr>
        <w:t xml:space="preserve">Materials and supplies </w:t>
      </w:r>
    </w:p>
    <w:p w14:paraId="349E3D68" w14:textId="4A9421C1" w:rsidR="00DA29D2" w:rsidRPr="001778AC" w:rsidRDefault="00DA29D2" w:rsidP="00DF43D2">
      <w:pPr>
        <w:jc w:val="both"/>
        <w:rPr>
          <w:i/>
        </w:rPr>
      </w:pPr>
      <w:r w:rsidRPr="001778AC">
        <w:rPr>
          <w:i/>
        </w:rPr>
        <w:t>Describe in detail the supplies/materials that make up the costs proposed. Describe how the project will benefit from the purchase of the supplies and materials proposed. Describe the method used to estimate supply and material expenses (e.g., catalog prices, vendor quotes, historical costs for like projects appropriately escalated, etc.) including how inflationary factors were determined and applied in multi-year budgets. For those costs normally treated as Facilities and Administrative (F&amp;A) costs, clearly justify the special purpose necessitating the inclusion as a direct cost; that is, explain how the costs are used in furtherance of the statement of work.</w:t>
      </w:r>
    </w:p>
    <w:p w14:paraId="702A038E" w14:textId="77777777" w:rsidR="001B07D2" w:rsidRPr="001778AC" w:rsidRDefault="001B07D2" w:rsidP="00DF43D2">
      <w:pPr>
        <w:jc w:val="both"/>
      </w:pPr>
    </w:p>
    <w:p w14:paraId="16D74816" w14:textId="1A93B80A" w:rsidR="00295D90" w:rsidRPr="001778AC" w:rsidRDefault="0006783A" w:rsidP="00DF43D2">
      <w:pPr>
        <w:jc w:val="both"/>
        <w:rPr>
          <w:i/>
        </w:rPr>
      </w:pPr>
      <w:r w:rsidRPr="001778AC">
        <w:rPr>
          <w:b/>
        </w:rPr>
        <w:t>Travel</w:t>
      </w:r>
      <w:r w:rsidRPr="001778AC">
        <w:t xml:space="preserve"> </w:t>
      </w:r>
    </w:p>
    <w:p w14:paraId="6B47C69A" w14:textId="15418AFF" w:rsidR="00650585" w:rsidRPr="001778AC" w:rsidRDefault="00DA29D2" w:rsidP="00DA29D2">
      <w:pPr>
        <w:jc w:val="both"/>
        <w:rPr>
          <w:i/>
        </w:rPr>
      </w:pPr>
      <w:r w:rsidRPr="001778AC">
        <w:rPr>
          <w:i/>
        </w:rPr>
        <w:t>Distinguish and separate costs for domestic versus international travel (be sure to review sponsor policy for this categorization). Explain the purpose of the trip and how the trip will benefit the project. State the destination and the names or the number of individuals who will be taking the trip. If the exact destination is not known, state the geographic location. Describe the mode and cost of transportation (air and/or ground), the number of days of per diem, the per diem rate. Include a statement indicating that the appropriate and current per diem rates are used (see current University of Illinois Per Diem Rates).</w:t>
      </w:r>
    </w:p>
    <w:p w14:paraId="3B9AF81C" w14:textId="77777777" w:rsidR="001B07D2" w:rsidRPr="001778AC" w:rsidRDefault="001B07D2" w:rsidP="00DF43D2">
      <w:pPr>
        <w:jc w:val="both"/>
      </w:pPr>
    </w:p>
    <w:p w14:paraId="5B886510" w14:textId="5A0683AB" w:rsidR="001B07D2" w:rsidRPr="001778AC" w:rsidRDefault="002B2A8D" w:rsidP="00DF43D2">
      <w:pPr>
        <w:jc w:val="both"/>
        <w:rPr>
          <w:i/>
        </w:rPr>
      </w:pPr>
      <w:r w:rsidRPr="001778AC">
        <w:rPr>
          <w:b/>
        </w:rPr>
        <w:t xml:space="preserve">Computer </w:t>
      </w:r>
      <w:r w:rsidR="00884329" w:rsidRPr="001778AC">
        <w:rPr>
          <w:b/>
        </w:rPr>
        <w:t>Services</w:t>
      </w:r>
      <w:r w:rsidRPr="001778AC">
        <w:rPr>
          <w:b/>
        </w:rPr>
        <w:t>/Service Centers</w:t>
      </w:r>
      <w:r w:rsidR="00DF43D2" w:rsidRPr="001778AC">
        <w:rPr>
          <w:b/>
        </w:rPr>
        <w:t xml:space="preserve"> </w:t>
      </w:r>
    </w:p>
    <w:p w14:paraId="44B577B6" w14:textId="241F9D6D" w:rsidR="002B2A8D" w:rsidRPr="001778AC" w:rsidRDefault="002B2A8D" w:rsidP="00DF43D2">
      <w:pPr>
        <w:jc w:val="both"/>
        <w:rPr>
          <w:i/>
        </w:rPr>
      </w:pPr>
      <w:r w:rsidRPr="001778AC">
        <w:rPr>
          <w:i/>
        </w:rPr>
        <w:t>List the name of the provider, the type of service, the daily/hourly service rate, number of days/hours of service, and the cost of travel, per diem, and or shipping costs as appropriate. Describe the need for the service, the services to be provided, and justify the selection of the service and the stated rate of pay.</w:t>
      </w:r>
    </w:p>
    <w:p w14:paraId="6BE7343D" w14:textId="1FCBF99B" w:rsidR="002B2A8D" w:rsidRPr="001778AC" w:rsidRDefault="002B2A8D" w:rsidP="00DF43D2">
      <w:pPr>
        <w:jc w:val="both"/>
        <w:rPr>
          <w:i/>
        </w:rPr>
      </w:pPr>
    </w:p>
    <w:p w14:paraId="6F336315" w14:textId="6D3ECB7F" w:rsidR="002B2A8D" w:rsidRPr="001778AC" w:rsidRDefault="002B2A8D" w:rsidP="00DF43D2">
      <w:pPr>
        <w:jc w:val="both"/>
        <w:rPr>
          <w:b/>
        </w:rPr>
      </w:pPr>
      <w:r w:rsidRPr="001778AC">
        <w:rPr>
          <w:b/>
        </w:rPr>
        <w:t>Consultants</w:t>
      </w:r>
    </w:p>
    <w:p w14:paraId="1D11B8F5" w14:textId="4DC027EB" w:rsidR="002B2A8D" w:rsidRPr="001778AC" w:rsidRDefault="002B2A8D" w:rsidP="00DF43D2">
      <w:pPr>
        <w:jc w:val="both"/>
        <w:rPr>
          <w:i/>
        </w:rPr>
      </w:pPr>
      <w:r w:rsidRPr="001778AC">
        <w:rPr>
          <w:i/>
        </w:rPr>
        <w:t>List the name of the consultant(s), the area of expertise, organizational affiliation (if any), the daily/hourly rate of pay, number of days/hours of service and the cost of travel and per diem as appropriate. Describe the need for the consultant(s), the services to be provided, and justify the selection of the consultant and their rate of pay.</w:t>
      </w:r>
    </w:p>
    <w:p w14:paraId="6BFEAC29" w14:textId="77777777" w:rsidR="002B2A8D" w:rsidRPr="001778AC" w:rsidRDefault="002B2A8D" w:rsidP="00DF43D2">
      <w:pPr>
        <w:jc w:val="both"/>
        <w:rPr>
          <w:i/>
        </w:rPr>
      </w:pPr>
    </w:p>
    <w:p w14:paraId="1EDCFB66" w14:textId="66353BF2" w:rsidR="002B2A8D" w:rsidRPr="001778AC" w:rsidRDefault="002B2A8D" w:rsidP="00DF43D2">
      <w:pPr>
        <w:jc w:val="both"/>
        <w:rPr>
          <w:b/>
        </w:rPr>
      </w:pPr>
      <w:r w:rsidRPr="001778AC">
        <w:rPr>
          <w:b/>
        </w:rPr>
        <w:t>Subawards</w:t>
      </w:r>
    </w:p>
    <w:p w14:paraId="2349ABC7" w14:textId="50FD9619" w:rsidR="002B2A8D" w:rsidRPr="001778AC" w:rsidRDefault="002B2A8D" w:rsidP="00DF43D2">
      <w:pPr>
        <w:jc w:val="both"/>
        <w:rPr>
          <w:i/>
        </w:rPr>
      </w:pPr>
      <w:r w:rsidRPr="001778AC">
        <w:rPr>
          <w:i/>
        </w:rPr>
        <w:t>Indicate the reasons why a portion of the technical or programmatic effort must be subcontracted and provide an explanation of the method used to select the subcontract (e.g., sole source, competitive bid, etc.) as well as the reasons why the subcontractor was selected.</w:t>
      </w:r>
    </w:p>
    <w:p w14:paraId="2B742F59" w14:textId="23494340" w:rsidR="002B2A8D" w:rsidRPr="001778AC" w:rsidRDefault="002B2A8D" w:rsidP="00DF43D2">
      <w:pPr>
        <w:jc w:val="both"/>
        <w:rPr>
          <w:i/>
        </w:rPr>
      </w:pPr>
    </w:p>
    <w:p w14:paraId="4CA5A087" w14:textId="04DC1201" w:rsidR="002B2A8D" w:rsidRPr="001778AC" w:rsidRDefault="002B2A8D" w:rsidP="00DF43D2">
      <w:pPr>
        <w:jc w:val="both"/>
        <w:rPr>
          <w:b/>
        </w:rPr>
      </w:pPr>
      <w:r w:rsidRPr="001778AC">
        <w:rPr>
          <w:b/>
        </w:rPr>
        <w:t>Other Direct Costs</w:t>
      </w:r>
    </w:p>
    <w:p w14:paraId="09AB6677" w14:textId="1EEC0180" w:rsidR="002B2A8D" w:rsidRPr="001778AC" w:rsidRDefault="002B2A8D" w:rsidP="00DF43D2">
      <w:pPr>
        <w:jc w:val="both"/>
        <w:rPr>
          <w:i/>
        </w:rPr>
      </w:pPr>
      <w:r w:rsidRPr="001778AC">
        <w:rPr>
          <w:i/>
        </w:rPr>
        <w:t>Explain the need for cost items included in the direct costs category and describe the method used to estimate those expenses (e.g., service brochures, established rate lists, vendor quotes, historical costs for like projects appropriately escalated, etc.) including how inflationary factors were determined and applied in multi-year budgets.</w:t>
      </w:r>
    </w:p>
    <w:p w14:paraId="69C97A2A" w14:textId="77777777" w:rsidR="00D9152E" w:rsidRPr="001778AC" w:rsidRDefault="00D9152E" w:rsidP="00DF43D2">
      <w:pPr>
        <w:jc w:val="both"/>
      </w:pPr>
    </w:p>
    <w:p w14:paraId="525A8941" w14:textId="77777777" w:rsidR="00D647C3" w:rsidRPr="001778AC" w:rsidRDefault="00D647C3" w:rsidP="00D647C3">
      <w:pPr>
        <w:jc w:val="both"/>
        <w:rPr>
          <w:b/>
        </w:rPr>
      </w:pPr>
      <w:r w:rsidRPr="001778AC">
        <w:rPr>
          <w:b/>
        </w:rPr>
        <w:t>Tuition Remission</w:t>
      </w:r>
    </w:p>
    <w:p w14:paraId="765071CE" w14:textId="77777777" w:rsidR="00D647C3" w:rsidRPr="001778AC" w:rsidRDefault="00D647C3" w:rsidP="00D647C3">
      <w:pPr>
        <w:jc w:val="both"/>
      </w:pPr>
      <w:r w:rsidRPr="001778AC">
        <w:t>Tuition Remission is assessed at the federally negotiated rate of 64%. The base for the Tuition Remission rate is salaries and wages of graduate assistant(s) with tuition waivers.</w:t>
      </w:r>
    </w:p>
    <w:p w14:paraId="072ADAF5" w14:textId="77777777" w:rsidR="00D647C3" w:rsidRPr="001778AC" w:rsidRDefault="00D647C3" w:rsidP="00D647C3">
      <w:pPr>
        <w:jc w:val="both"/>
        <w:rPr>
          <w:b/>
        </w:rPr>
      </w:pPr>
    </w:p>
    <w:p w14:paraId="121EAADE" w14:textId="77777777" w:rsidR="00D647C3" w:rsidRPr="001778AC" w:rsidRDefault="00D647C3" w:rsidP="00D647C3">
      <w:pPr>
        <w:jc w:val="both"/>
        <w:rPr>
          <w:b/>
        </w:rPr>
      </w:pPr>
      <w:r w:rsidRPr="001778AC">
        <w:rPr>
          <w:b/>
        </w:rPr>
        <w:t>Indirect Costs</w:t>
      </w:r>
    </w:p>
    <w:p w14:paraId="6D3150FB" w14:textId="2DD6DE64" w:rsidR="00344533" w:rsidRPr="001778AC" w:rsidRDefault="00D647C3" w:rsidP="00D647C3">
      <w:pPr>
        <w:jc w:val="both"/>
      </w:pPr>
      <w:r w:rsidRPr="001778AC">
        <w:t>Indirect costs are assessed at the federally negotiated indirect cost rate for on-campus sponsored research (58.6%). The indirect cost base is Modified Total Direct Costs (MTDC), which excludes equipment costing $5,000 or more, sub</w:t>
      </w:r>
      <w:r w:rsidR="00DA29D2" w:rsidRPr="001778AC">
        <w:t>award</w:t>
      </w:r>
      <w:r w:rsidRPr="001778AC">
        <w:t xml:space="preserve"> exp</w:t>
      </w:r>
      <w:r w:rsidR="00DA29D2" w:rsidRPr="001778AC">
        <w:t xml:space="preserve">enditures in excess of $25,000, </w:t>
      </w:r>
      <w:r w:rsidRPr="001778AC">
        <w:t>graduate assistant tuition remission</w:t>
      </w:r>
      <w:r w:rsidR="00DA29D2" w:rsidRPr="001778AC">
        <w:t>, participant support costs, rentals and leases, and fellowships, scholarships, and traineeships</w:t>
      </w:r>
      <w:r w:rsidRPr="001778AC">
        <w:t>.</w:t>
      </w:r>
    </w:p>
    <w:sectPr w:rsidR="00344533" w:rsidRPr="001778AC" w:rsidSect="00DF43D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C5023" w14:textId="77777777" w:rsidR="00D33766" w:rsidRDefault="00D33766" w:rsidP="00B91BF7">
      <w:r>
        <w:separator/>
      </w:r>
    </w:p>
  </w:endnote>
  <w:endnote w:type="continuationSeparator" w:id="0">
    <w:p w14:paraId="297DFC5D" w14:textId="77777777" w:rsidR="00D33766" w:rsidRDefault="00D33766" w:rsidP="00B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9025E" w14:textId="77777777" w:rsidR="00D33766" w:rsidRDefault="00D33766" w:rsidP="00B91BF7">
      <w:r>
        <w:separator/>
      </w:r>
    </w:p>
  </w:footnote>
  <w:footnote w:type="continuationSeparator" w:id="0">
    <w:p w14:paraId="6C5A2D2F" w14:textId="77777777" w:rsidR="00D33766" w:rsidRDefault="00D33766" w:rsidP="00B9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9123E" w14:textId="46E3BD7F" w:rsidR="00B91BF7" w:rsidRDefault="00B47496" w:rsidP="00B47496">
    <w:pPr>
      <w:pStyle w:val="Header"/>
      <w:jc w:val="center"/>
    </w:pPr>
    <w:r>
      <w:rPr>
        <w:noProof/>
      </w:rPr>
      <w:drawing>
        <wp:inline distT="0" distB="0" distL="0" distR="0" wp14:anchorId="29E99971" wp14:editId="01B03D00">
          <wp:extent cx="1508667" cy="710982"/>
          <wp:effectExtent l="0" t="0" r="0" b="0"/>
          <wp:docPr id="3" name="Picture 6">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8667" cy="710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8404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17E43"/>
    <w:multiLevelType w:val="hybridMultilevel"/>
    <w:tmpl w:val="71089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16AA4"/>
    <w:multiLevelType w:val="hybridMultilevel"/>
    <w:tmpl w:val="8F14670C"/>
    <w:lvl w:ilvl="0" w:tplc="543AC7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80713506">
    <w:abstractNumId w:val="0"/>
  </w:num>
  <w:num w:numId="2" w16cid:durableId="112796209">
    <w:abstractNumId w:val="2"/>
  </w:num>
  <w:num w:numId="3" w16cid:durableId="1326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B22"/>
    <w:rsid w:val="00001477"/>
    <w:rsid w:val="00014E0E"/>
    <w:rsid w:val="00030445"/>
    <w:rsid w:val="0004431F"/>
    <w:rsid w:val="00056460"/>
    <w:rsid w:val="0006783A"/>
    <w:rsid w:val="000A3F48"/>
    <w:rsid w:val="000C5114"/>
    <w:rsid w:val="000D0A1D"/>
    <w:rsid w:val="000D1C90"/>
    <w:rsid w:val="000D25B6"/>
    <w:rsid w:val="000E0356"/>
    <w:rsid w:val="001778AC"/>
    <w:rsid w:val="00182A68"/>
    <w:rsid w:val="001B07D2"/>
    <w:rsid w:val="001B7665"/>
    <w:rsid w:val="001E3AB1"/>
    <w:rsid w:val="00210466"/>
    <w:rsid w:val="002132CF"/>
    <w:rsid w:val="00221028"/>
    <w:rsid w:val="002228D9"/>
    <w:rsid w:val="002606A1"/>
    <w:rsid w:val="00270604"/>
    <w:rsid w:val="00295D90"/>
    <w:rsid w:val="002A099C"/>
    <w:rsid w:val="002B2A8D"/>
    <w:rsid w:val="002B63C6"/>
    <w:rsid w:val="002C1695"/>
    <w:rsid w:val="002C332D"/>
    <w:rsid w:val="00303F63"/>
    <w:rsid w:val="0031064A"/>
    <w:rsid w:val="0032470F"/>
    <w:rsid w:val="00326A03"/>
    <w:rsid w:val="00344533"/>
    <w:rsid w:val="00395E77"/>
    <w:rsid w:val="003A6EF5"/>
    <w:rsid w:val="003B2DE1"/>
    <w:rsid w:val="003D42C5"/>
    <w:rsid w:val="003E1DD9"/>
    <w:rsid w:val="003F72C7"/>
    <w:rsid w:val="0042022C"/>
    <w:rsid w:val="00427E77"/>
    <w:rsid w:val="004334F8"/>
    <w:rsid w:val="00435B7F"/>
    <w:rsid w:val="00446263"/>
    <w:rsid w:val="004546B7"/>
    <w:rsid w:val="00474D9F"/>
    <w:rsid w:val="00483F07"/>
    <w:rsid w:val="004932CB"/>
    <w:rsid w:val="004937C0"/>
    <w:rsid w:val="004963CC"/>
    <w:rsid w:val="004A065D"/>
    <w:rsid w:val="004A5C48"/>
    <w:rsid w:val="004B674E"/>
    <w:rsid w:val="004E7CE9"/>
    <w:rsid w:val="004F2F1E"/>
    <w:rsid w:val="004F5DC8"/>
    <w:rsid w:val="00500716"/>
    <w:rsid w:val="00521724"/>
    <w:rsid w:val="005600D2"/>
    <w:rsid w:val="0057170A"/>
    <w:rsid w:val="00573B0B"/>
    <w:rsid w:val="005945A2"/>
    <w:rsid w:val="005A3006"/>
    <w:rsid w:val="005D378A"/>
    <w:rsid w:val="00601865"/>
    <w:rsid w:val="006167C7"/>
    <w:rsid w:val="00650585"/>
    <w:rsid w:val="00651490"/>
    <w:rsid w:val="006E1F1C"/>
    <w:rsid w:val="006E3BDF"/>
    <w:rsid w:val="006F20F1"/>
    <w:rsid w:val="00703E36"/>
    <w:rsid w:val="00704301"/>
    <w:rsid w:val="00713134"/>
    <w:rsid w:val="0078210E"/>
    <w:rsid w:val="00787C18"/>
    <w:rsid w:val="007D4B22"/>
    <w:rsid w:val="007E55AE"/>
    <w:rsid w:val="007E7B5F"/>
    <w:rsid w:val="008124B2"/>
    <w:rsid w:val="00823B21"/>
    <w:rsid w:val="008263EC"/>
    <w:rsid w:val="008332D5"/>
    <w:rsid w:val="00872013"/>
    <w:rsid w:val="00884329"/>
    <w:rsid w:val="00890009"/>
    <w:rsid w:val="008E44E3"/>
    <w:rsid w:val="008E48E1"/>
    <w:rsid w:val="00905D20"/>
    <w:rsid w:val="00917881"/>
    <w:rsid w:val="009416F7"/>
    <w:rsid w:val="00946E62"/>
    <w:rsid w:val="00956E58"/>
    <w:rsid w:val="00983992"/>
    <w:rsid w:val="00986C77"/>
    <w:rsid w:val="009948C2"/>
    <w:rsid w:val="009A5E06"/>
    <w:rsid w:val="009B74B3"/>
    <w:rsid w:val="009C26CE"/>
    <w:rsid w:val="00A221B5"/>
    <w:rsid w:val="00A3660B"/>
    <w:rsid w:val="00A73F75"/>
    <w:rsid w:val="00A826BD"/>
    <w:rsid w:val="00AB4612"/>
    <w:rsid w:val="00AB4657"/>
    <w:rsid w:val="00AB4B33"/>
    <w:rsid w:val="00AE19A5"/>
    <w:rsid w:val="00AF1ED8"/>
    <w:rsid w:val="00AF43D1"/>
    <w:rsid w:val="00B00BB7"/>
    <w:rsid w:val="00B12601"/>
    <w:rsid w:val="00B411CD"/>
    <w:rsid w:val="00B433AA"/>
    <w:rsid w:val="00B47496"/>
    <w:rsid w:val="00B645CB"/>
    <w:rsid w:val="00B66247"/>
    <w:rsid w:val="00B91BF7"/>
    <w:rsid w:val="00B965E3"/>
    <w:rsid w:val="00BB624C"/>
    <w:rsid w:val="00C01444"/>
    <w:rsid w:val="00C052C3"/>
    <w:rsid w:val="00C21576"/>
    <w:rsid w:val="00C22F8F"/>
    <w:rsid w:val="00C510AC"/>
    <w:rsid w:val="00C71FDF"/>
    <w:rsid w:val="00CA3973"/>
    <w:rsid w:val="00CD3429"/>
    <w:rsid w:val="00CE318A"/>
    <w:rsid w:val="00CE4459"/>
    <w:rsid w:val="00CF36BE"/>
    <w:rsid w:val="00D056D6"/>
    <w:rsid w:val="00D1699D"/>
    <w:rsid w:val="00D304C6"/>
    <w:rsid w:val="00D33766"/>
    <w:rsid w:val="00D51F3D"/>
    <w:rsid w:val="00D647C3"/>
    <w:rsid w:val="00D65326"/>
    <w:rsid w:val="00D66046"/>
    <w:rsid w:val="00D77A60"/>
    <w:rsid w:val="00D9152E"/>
    <w:rsid w:val="00DA29D2"/>
    <w:rsid w:val="00DA6506"/>
    <w:rsid w:val="00DD22DD"/>
    <w:rsid w:val="00DE595A"/>
    <w:rsid w:val="00DF43D2"/>
    <w:rsid w:val="00E0486B"/>
    <w:rsid w:val="00E114EA"/>
    <w:rsid w:val="00E27B3A"/>
    <w:rsid w:val="00E439E7"/>
    <w:rsid w:val="00E60BAA"/>
    <w:rsid w:val="00E61B9E"/>
    <w:rsid w:val="00E70BCD"/>
    <w:rsid w:val="00EA7E88"/>
    <w:rsid w:val="00EB53C8"/>
    <w:rsid w:val="00ED58F9"/>
    <w:rsid w:val="00EE0108"/>
    <w:rsid w:val="00EE1D84"/>
    <w:rsid w:val="00F01E42"/>
    <w:rsid w:val="00F3590C"/>
    <w:rsid w:val="00F36B67"/>
    <w:rsid w:val="00F74D66"/>
    <w:rsid w:val="00F843E9"/>
    <w:rsid w:val="00F94C00"/>
    <w:rsid w:val="00FA5D9B"/>
    <w:rsid w:val="00FA61AC"/>
    <w:rsid w:val="00FD72B5"/>
    <w:rsid w:val="00FF1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6CF79"/>
  <w15:chartTrackingRefBased/>
  <w15:docId w15:val="{5B01187A-7604-4B18-9E5D-C51DB884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2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99D"/>
    <w:pPr>
      <w:ind w:left="720"/>
    </w:pPr>
    <w:rPr>
      <w:rFonts w:ascii="Calibri" w:eastAsia="Calibri" w:hAnsi="Calibri" w:cs="Calibri"/>
      <w:sz w:val="22"/>
      <w:szCs w:val="22"/>
    </w:rPr>
  </w:style>
  <w:style w:type="paragraph" w:customStyle="1" w:styleId="Default">
    <w:name w:val="Default"/>
    <w:rsid w:val="00295D90"/>
    <w:pPr>
      <w:autoSpaceDE w:val="0"/>
      <w:autoSpaceDN w:val="0"/>
      <w:adjustRightInd w:val="0"/>
    </w:pPr>
    <w:rPr>
      <w:color w:val="000000"/>
      <w:sz w:val="24"/>
      <w:szCs w:val="24"/>
    </w:rPr>
  </w:style>
  <w:style w:type="paragraph" w:styleId="BalloonText">
    <w:name w:val="Balloon Text"/>
    <w:basedOn w:val="Normal"/>
    <w:link w:val="BalloonTextChar"/>
    <w:rsid w:val="005945A2"/>
    <w:rPr>
      <w:rFonts w:ascii="Segoe UI" w:hAnsi="Segoe UI" w:cs="Segoe UI"/>
      <w:sz w:val="18"/>
      <w:szCs w:val="18"/>
    </w:rPr>
  </w:style>
  <w:style w:type="character" w:customStyle="1" w:styleId="BalloonTextChar">
    <w:name w:val="Balloon Text Char"/>
    <w:link w:val="BalloonText"/>
    <w:rsid w:val="005945A2"/>
    <w:rPr>
      <w:rFonts w:ascii="Segoe UI" w:hAnsi="Segoe UI" w:cs="Segoe UI"/>
      <w:sz w:val="18"/>
      <w:szCs w:val="18"/>
    </w:rPr>
  </w:style>
  <w:style w:type="paragraph" w:styleId="Header">
    <w:name w:val="header"/>
    <w:basedOn w:val="Normal"/>
    <w:link w:val="HeaderChar"/>
    <w:rsid w:val="00B91BF7"/>
    <w:pPr>
      <w:tabs>
        <w:tab w:val="center" w:pos="4680"/>
        <w:tab w:val="right" w:pos="9360"/>
      </w:tabs>
    </w:pPr>
  </w:style>
  <w:style w:type="character" w:customStyle="1" w:styleId="HeaderChar">
    <w:name w:val="Header Char"/>
    <w:basedOn w:val="DefaultParagraphFont"/>
    <w:link w:val="Header"/>
    <w:rsid w:val="00B91BF7"/>
    <w:rPr>
      <w:sz w:val="24"/>
      <w:szCs w:val="24"/>
    </w:rPr>
  </w:style>
  <w:style w:type="paragraph" w:styleId="Footer">
    <w:name w:val="footer"/>
    <w:basedOn w:val="Normal"/>
    <w:link w:val="FooterChar"/>
    <w:rsid w:val="00B91BF7"/>
    <w:pPr>
      <w:tabs>
        <w:tab w:val="center" w:pos="4680"/>
        <w:tab w:val="right" w:pos="9360"/>
      </w:tabs>
    </w:pPr>
  </w:style>
  <w:style w:type="character" w:customStyle="1" w:styleId="FooterChar">
    <w:name w:val="Footer Char"/>
    <w:basedOn w:val="DefaultParagraphFont"/>
    <w:link w:val="Footer"/>
    <w:rsid w:val="00B91BF7"/>
    <w:rPr>
      <w:sz w:val="24"/>
      <w:szCs w:val="24"/>
    </w:rPr>
  </w:style>
  <w:style w:type="character" w:styleId="Hyperlink">
    <w:name w:val="Hyperlink"/>
    <w:basedOn w:val="DefaultParagraphFont"/>
    <w:rsid w:val="00F01E42"/>
    <w:rPr>
      <w:color w:val="0563C1" w:themeColor="hyperlink"/>
      <w:u w:val="single"/>
    </w:rPr>
  </w:style>
  <w:style w:type="table" w:styleId="TableGrid">
    <w:name w:val="Table Grid"/>
    <w:basedOn w:val="TableNormal"/>
    <w:rsid w:val="00CA3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937332">
      <w:bodyDiv w:val="1"/>
      <w:marLeft w:val="0"/>
      <w:marRight w:val="0"/>
      <w:marTop w:val="0"/>
      <w:marBottom w:val="0"/>
      <w:divBdr>
        <w:top w:val="none" w:sz="0" w:space="0" w:color="auto"/>
        <w:left w:val="none" w:sz="0" w:space="0" w:color="auto"/>
        <w:bottom w:val="none" w:sz="0" w:space="0" w:color="auto"/>
        <w:right w:val="none" w:sz="0" w:space="0" w:color="auto"/>
      </w:divBdr>
    </w:div>
    <w:div w:id="1315182851">
      <w:bodyDiv w:val="1"/>
      <w:marLeft w:val="0"/>
      <w:marRight w:val="0"/>
      <w:marTop w:val="0"/>
      <w:marBottom w:val="0"/>
      <w:divBdr>
        <w:top w:val="none" w:sz="0" w:space="0" w:color="auto"/>
        <w:left w:val="none" w:sz="0" w:space="0" w:color="auto"/>
        <w:bottom w:val="none" w:sz="0" w:space="0" w:color="auto"/>
        <w:right w:val="none" w:sz="0" w:space="0" w:color="auto"/>
      </w:divBdr>
    </w:div>
    <w:div w:id="1625307294">
      <w:bodyDiv w:val="1"/>
      <w:marLeft w:val="0"/>
      <w:marRight w:val="0"/>
      <w:marTop w:val="0"/>
      <w:marBottom w:val="0"/>
      <w:divBdr>
        <w:top w:val="none" w:sz="0" w:space="0" w:color="auto"/>
        <w:left w:val="none" w:sz="0" w:space="0" w:color="auto"/>
        <w:bottom w:val="none" w:sz="0" w:space="0" w:color="auto"/>
        <w:right w:val="none" w:sz="0" w:space="0" w:color="auto"/>
      </w:divBdr>
    </w:div>
    <w:div w:id="19754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am.illinois.edu/policies/hr-2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AA513356CEF438256D6A0A908CEBE" ma:contentTypeVersion="11" ma:contentTypeDescription="Create a new document." ma:contentTypeScope="" ma:versionID="bb7886b2aabb0decc5ae01de763f4f9a">
  <xsd:schema xmlns:xsd="http://www.w3.org/2001/XMLSchema" xmlns:xs="http://www.w3.org/2001/XMLSchema" xmlns:p="http://schemas.microsoft.com/office/2006/metadata/properties" xmlns:ns3="69b9f5d0-c6af-44bb-acf6-21bc70f78ac6" targetNamespace="http://schemas.microsoft.com/office/2006/metadata/properties" ma:root="true" ma:fieldsID="b1cc5be0200cb870a46f146e607bc610" ns3:_="">
    <xsd:import namespace="69b9f5d0-c6af-44bb-acf6-21bc70f78a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9f5d0-c6af-44bb-acf6-21bc70f78a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C7B20A-1FF9-408C-A615-F56F5EC0124A}">
  <ds:schemaRefs>
    <ds:schemaRef ds:uri="http://schemas.microsoft.com/sharepoint/v3/contenttype/forms"/>
  </ds:schemaRefs>
</ds:datastoreItem>
</file>

<file path=customXml/itemProps2.xml><?xml version="1.0" encoding="utf-8"?>
<ds:datastoreItem xmlns:ds="http://schemas.openxmlformats.org/officeDocument/2006/customXml" ds:itemID="{83871329-F278-49EC-BC7D-B8A77947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9f5d0-c6af-44bb-acf6-21bc70f78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544B2-F20A-40A2-8FA8-05B7481AD25E}">
  <ds:schemaRefs>
    <ds:schemaRef ds:uri="http://schemas.microsoft.com/office/2006/metadata/properties"/>
    <ds:schemaRef ds:uri="69b9f5d0-c6af-44bb-acf6-21bc70f78ac6"/>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5651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Benefits</vt:lpstr>
    </vt:vector>
  </TitlesOfParts>
  <Company>AAE, UIUC</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dc:title>
  <dc:subject/>
  <dc:creator>ballingr</dc:creator>
  <cp:keywords/>
  <cp:lastModifiedBy>Tracy McDade</cp:lastModifiedBy>
  <cp:revision>2</cp:revision>
  <cp:lastPrinted>2014-10-21T14:21:00Z</cp:lastPrinted>
  <dcterms:created xsi:type="dcterms:W3CDTF">2024-06-28T20:41:00Z</dcterms:created>
  <dcterms:modified xsi:type="dcterms:W3CDTF">2024-06-28T20:41:00Z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0x010100B53AA513356CEF438256D6A0A908CEBE</vt:lpwstr>
  </property>
</Properties>
</file>