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E8EC2" w14:textId="77777777" w:rsidR="00AC3D73" w:rsidRPr="00ED24C1" w:rsidRDefault="00ED24C1" w:rsidP="00AC3D73">
      <w:pPr>
        <w:pStyle w:val="Header"/>
        <w:jc w:val="right"/>
        <w:rPr>
          <w:rFonts w:cstheme="minorHAnsi"/>
          <w:b/>
          <w:color w:val="13294B"/>
          <w:sz w:val="42"/>
          <w:szCs w:val="42"/>
        </w:rPr>
      </w:pPr>
      <w:bookmarkStart w:id="0" w:name="_GoBack"/>
      <w:bookmarkEnd w:id="0"/>
      <w:r w:rsidRPr="00ED24C1">
        <w:rPr>
          <w:rFonts w:ascii="Proxima Nova Semibold" w:hAnsi="Proxima Nova Semibold"/>
          <w:noProof/>
          <w:sz w:val="42"/>
          <w:szCs w:val="48"/>
        </w:rPr>
        <w:drawing>
          <wp:anchor distT="0" distB="0" distL="114300" distR="114300" simplePos="0" relativeHeight="251663360" behindDoc="0" locked="0" layoutInCell="1" allowOverlap="1" wp14:anchorId="5E78B049" wp14:editId="570FDABA">
            <wp:simplePos x="0" y="0"/>
            <wp:positionH relativeFrom="margin">
              <wp:align>left</wp:align>
            </wp:positionH>
            <wp:positionV relativeFrom="margin">
              <wp:posOffset>62328</wp:posOffset>
            </wp:positionV>
            <wp:extent cx="2209800" cy="254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ndary_OrangeIwithBlue_BlueILLLINOIS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73" w:rsidRPr="00ED24C1">
        <w:rPr>
          <w:rFonts w:ascii="Proxima Nova Semibold" w:hAnsi="Proxima Nova Semibold"/>
          <w:noProof/>
          <w:sz w:val="42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46F53A" wp14:editId="3B3A7BE0">
                <wp:simplePos x="0" y="0"/>
                <wp:positionH relativeFrom="margin">
                  <wp:posOffset>8524875</wp:posOffset>
                </wp:positionH>
                <wp:positionV relativeFrom="bottomMargin">
                  <wp:posOffset>47625</wp:posOffset>
                </wp:positionV>
                <wp:extent cx="685800" cy="247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0603" w14:textId="77777777" w:rsidR="00AC3D73" w:rsidRPr="005451F0" w:rsidRDefault="00AC3D73" w:rsidP="00AC3D73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5451F0">
                              <w:rPr>
                                <w:color w:val="7F7F7F" w:themeColor="text1" w:themeTint="80"/>
                              </w:rPr>
                              <w:t>10/2019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8E7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1.25pt;margin-top:3.75pt;width:54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" stroked="f">
                <v:textbox>
                  <w:txbxContent>
                    <w:p w:rsidR="00AC3D73" w:rsidRPr="005451F0" w:rsidRDefault="00AC3D73" w:rsidP="00AC3D73">
                      <w:pPr>
                        <w:rPr>
                          <w:color w:val="7F7F7F" w:themeColor="text1" w:themeTint="80"/>
                        </w:rPr>
                      </w:pPr>
                      <w:r w:rsidRPr="005451F0">
                        <w:rPr>
                          <w:color w:val="7F7F7F" w:themeColor="text1" w:themeTint="80"/>
                        </w:rPr>
                        <w:t>10/2019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C3D73" w:rsidRPr="00ED24C1">
        <w:rPr>
          <w:rFonts w:ascii="Proxima Nova Semibold" w:hAnsi="Proxima Nova Semibold"/>
          <w:noProof/>
          <w:sz w:val="42"/>
          <w:szCs w:val="48"/>
        </w:rPr>
        <w:t xml:space="preserve"> </w:t>
      </w:r>
      <w:r w:rsidRPr="00ED24C1">
        <w:rPr>
          <w:rFonts w:cstheme="minorHAnsi"/>
          <w:b/>
          <w:color w:val="13294B"/>
          <w:sz w:val="42"/>
          <w:szCs w:val="42"/>
        </w:rPr>
        <w:t>Recommended G</w:t>
      </w:r>
      <w:r w:rsidR="00AC3D73" w:rsidRPr="00ED24C1">
        <w:rPr>
          <w:rFonts w:cstheme="minorHAnsi"/>
          <w:b/>
          <w:color w:val="13294B"/>
          <w:sz w:val="42"/>
          <w:szCs w:val="42"/>
        </w:rPr>
        <w:t>uidelines for Graduate Student Mentoring</w:t>
      </w:r>
    </w:p>
    <w:p w14:paraId="5977AAED" w14:textId="77777777" w:rsidR="00ED24C1" w:rsidRPr="00ED24C1" w:rsidRDefault="00ED24C1" w:rsidP="00AC3D73">
      <w:pPr>
        <w:pStyle w:val="Header"/>
        <w:jc w:val="right"/>
        <w:rPr>
          <w:rFonts w:cstheme="minorHAnsi"/>
          <w:b/>
          <w:color w:val="13294B"/>
          <w:sz w:val="28"/>
          <w:szCs w:val="48"/>
        </w:rPr>
      </w:pPr>
    </w:p>
    <w:tbl>
      <w:tblPr>
        <w:tblStyle w:val="TableGrid"/>
        <w:tblW w:w="1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860"/>
        <w:gridCol w:w="4770"/>
      </w:tblGrid>
      <w:tr w:rsidR="00B7759A" w:rsidRPr="00E534E8" w14:paraId="56C89406" w14:textId="77777777" w:rsidTr="00AC3D73">
        <w:trPr>
          <w:trHeight w:val="620"/>
        </w:trPr>
        <w:tc>
          <w:tcPr>
            <w:tcW w:w="4765" w:type="dxa"/>
            <w:tcBorders>
              <w:left w:val="single" w:sz="4" w:space="0" w:color="A6A6A6" w:themeColor="background1" w:themeShade="A6"/>
            </w:tcBorders>
            <w:shd w:val="clear" w:color="auto" w:fill="13294B"/>
            <w:vAlign w:val="center"/>
          </w:tcPr>
          <w:p w14:paraId="5EE52914" w14:textId="77777777" w:rsidR="00B7759A" w:rsidRPr="002E6B2A" w:rsidRDefault="00B7759A" w:rsidP="00AC3D73">
            <w:pPr>
              <w:jc w:val="center"/>
              <w:rPr>
                <w:rFonts w:cstheme="minorHAnsi"/>
                <w:b/>
                <w:caps/>
                <w:color w:val="FFFFFF" w:themeColor="background1"/>
                <w:sz w:val="28"/>
                <w:szCs w:val="28"/>
              </w:rPr>
            </w:pPr>
            <w:r w:rsidRPr="002E6B2A">
              <w:rPr>
                <w:rFonts w:cstheme="minorHAnsi"/>
                <w:b/>
                <w:caps/>
                <w:color w:val="FFFFFF" w:themeColor="background1"/>
                <w:sz w:val="28"/>
                <w:szCs w:val="28"/>
              </w:rPr>
              <w:t>Faculty</w:t>
            </w:r>
          </w:p>
        </w:tc>
        <w:tc>
          <w:tcPr>
            <w:tcW w:w="4860" w:type="dxa"/>
            <w:shd w:val="clear" w:color="auto" w:fill="E84A27"/>
            <w:vAlign w:val="center"/>
          </w:tcPr>
          <w:p w14:paraId="1865BC16" w14:textId="77777777" w:rsidR="00B7759A" w:rsidRPr="002E6B2A" w:rsidRDefault="00B7759A" w:rsidP="00AC3D73">
            <w:pPr>
              <w:jc w:val="center"/>
              <w:rPr>
                <w:rFonts w:cstheme="minorHAnsi"/>
                <w:b/>
                <w:caps/>
                <w:color w:val="FFFFFF" w:themeColor="background1"/>
                <w:sz w:val="28"/>
                <w:szCs w:val="28"/>
              </w:rPr>
            </w:pPr>
            <w:r w:rsidRPr="002E6B2A">
              <w:rPr>
                <w:rFonts w:cstheme="minorHAnsi"/>
                <w:b/>
                <w:caps/>
                <w:color w:val="FFFFFF" w:themeColor="background1"/>
                <w:sz w:val="28"/>
                <w:szCs w:val="28"/>
              </w:rPr>
              <w:t>Graduate students</w:t>
            </w:r>
          </w:p>
        </w:tc>
        <w:tc>
          <w:tcPr>
            <w:tcW w:w="4770" w:type="dxa"/>
            <w:shd w:val="clear" w:color="auto" w:fill="7F7F7F" w:themeFill="text1" w:themeFillTint="80"/>
            <w:vAlign w:val="center"/>
          </w:tcPr>
          <w:p w14:paraId="11ED46FA" w14:textId="77777777" w:rsidR="00B7759A" w:rsidRPr="002E6B2A" w:rsidRDefault="00B7759A" w:rsidP="00AC3D73">
            <w:pPr>
              <w:jc w:val="center"/>
              <w:rPr>
                <w:rFonts w:cstheme="minorHAnsi"/>
                <w:b/>
                <w:caps/>
                <w:color w:val="7F7F7F" w:themeColor="text1" w:themeTint="80"/>
                <w:sz w:val="28"/>
                <w:szCs w:val="28"/>
              </w:rPr>
            </w:pPr>
            <w:r w:rsidRPr="002E6B2A">
              <w:rPr>
                <w:rFonts w:cstheme="minorHAnsi"/>
                <w:b/>
                <w:caps/>
                <w:color w:val="FFFFFF" w:themeColor="background1"/>
                <w:sz w:val="28"/>
                <w:szCs w:val="28"/>
              </w:rPr>
              <w:t>Graduate programs</w:t>
            </w:r>
          </w:p>
        </w:tc>
      </w:tr>
      <w:tr w:rsidR="00B7759A" w:rsidRPr="009F37D3" w14:paraId="050F44B7" w14:textId="77777777" w:rsidTr="00AC3D73">
        <w:trPr>
          <w:trHeight w:val="356"/>
        </w:trPr>
        <w:tc>
          <w:tcPr>
            <w:tcW w:w="476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E394A7" w14:textId="77777777" w:rsidR="00B7759A" w:rsidRPr="002E6B2A" w:rsidRDefault="00B7759A" w:rsidP="00AC3D73">
            <w:pPr>
              <w:jc w:val="center"/>
              <w:rPr>
                <w:rFonts w:cstheme="minorHAnsi"/>
                <w:caps/>
                <w:color w:val="13294B"/>
              </w:rPr>
            </w:pPr>
            <w:r w:rsidRPr="002E6B2A">
              <w:rPr>
                <w:rFonts w:cstheme="minorHAnsi"/>
                <w:caps/>
                <w:color w:val="13294B"/>
              </w:rPr>
              <w:t>Positive &amp; Supportive Environment</w:t>
            </w:r>
          </w:p>
        </w:tc>
        <w:tc>
          <w:tcPr>
            <w:tcW w:w="486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CAA8C8" w14:textId="77777777" w:rsidR="00B7759A" w:rsidRPr="002E6B2A" w:rsidRDefault="00B7759A" w:rsidP="00AC3D73">
            <w:pPr>
              <w:jc w:val="center"/>
              <w:rPr>
                <w:rFonts w:cstheme="minorHAnsi"/>
                <w:color w:val="E84A27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E84A27"/>
              </w:rPr>
              <w:t>Positive &amp; Supportive Environment</w:t>
            </w:r>
          </w:p>
        </w:tc>
        <w:tc>
          <w:tcPr>
            <w:tcW w:w="477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B9B988" w14:textId="77777777" w:rsidR="00B7759A" w:rsidRPr="002E6B2A" w:rsidRDefault="00B7759A" w:rsidP="00AC3D73">
            <w:pPr>
              <w:jc w:val="center"/>
              <w:rPr>
                <w:rFonts w:cstheme="minorHAnsi"/>
                <w:color w:val="E84A27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7F7F7F" w:themeColor="text1" w:themeTint="80"/>
              </w:rPr>
              <w:t>Positive &amp; Supportive Environment</w:t>
            </w:r>
          </w:p>
        </w:tc>
      </w:tr>
      <w:tr w:rsidR="00B7759A" w:rsidRPr="009F37D3" w14:paraId="42842A8E" w14:textId="77777777" w:rsidTr="00AC3D73">
        <w:trPr>
          <w:trHeight w:val="2110"/>
        </w:trPr>
        <w:tc>
          <w:tcPr>
            <w:tcW w:w="4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BDDB3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Foster the overall wellbeing of students </w:t>
            </w:r>
          </w:p>
          <w:p w14:paraId="6904DEDC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Provide students a safe, supportive environment</w:t>
            </w:r>
          </w:p>
          <w:p w14:paraId="7AE69F05" w14:textId="77777777" w:rsidR="00B7759A" w:rsidRPr="004B62F5" w:rsidRDefault="00B7759A" w:rsidP="004B62F5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Interact ethically and professionally with </w:t>
            </w:r>
            <w:r w:rsidR="004B62F5">
              <w:rPr>
                <w:rFonts w:cstheme="minorHAnsi"/>
                <w:color w:val="13294B"/>
                <w:sz w:val="18"/>
                <w:szCs w:val="18"/>
              </w:rPr>
              <w:br/>
            </w:r>
            <w:r w:rsidRPr="004B62F5">
              <w:rPr>
                <w:rFonts w:cstheme="minorHAnsi"/>
                <w:color w:val="13294B"/>
                <w:sz w:val="18"/>
                <w:szCs w:val="18"/>
              </w:rPr>
              <w:t xml:space="preserve">other members of the university community </w:t>
            </w:r>
          </w:p>
          <w:p w14:paraId="7C6F81BE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Be responsive and receptive to students’ requests for academic feedback and professional advice</w:t>
            </w:r>
            <w:r w:rsidRPr="002E6B2A">
              <w:rPr>
                <w:rFonts w:cstheme="minorHAnsi"/>
                <w:color w:val="13294B"/>
                <w:sz w:val="18"/>
                <w:szCs w:val="18"/>
              </w:rPr>
              <w:tab/>
            </w:r>
          </w:p>
        </w:tc>
        <w:tc>
          <w:tcPr>
            <w:tcW w:w="48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14AD6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 xml:space="preserve">Interact ethically and professionally with </w:t>
            </w:r>
            <w:r w:rsidRPr="002E6B2A">
              <w:rPr>
                <w:rFonts w:cstheme="minorHAnsi"/>
                <w:color w:val="E84A27"/>
                <w:sz w:val="18"/>
                <w:szCs w:val="18"/>
              </w:rPr>
              <w:br/>
              <w:t xml:space="preserve">other members of the university community </w:t>
            </w:r>
          </w:p>
          <w:p w14:paraId="6430D479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>Seek guidance when feedback is needed</w:t>
            </w:r>
          </w:p>
          <w:p w14:paraId="405412E7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>Communicate about needs and concerns</w:t>
            </w:r>
            <w:r w:rsidR="009C7408">
              <w:rPr>
                <w:rFonts w:cstheme="minorHAnsi"/>
                <w:color w:val="E84A27"/>
                <w:sz w:val="18"/>
                <w:szCs w:val="18"/>
              </w:rPr>
              <w:t xml:space="preserve"> regarding academic and professional progress</w:t>
            </w: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605CD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 xml:space="preserve">Foster the wellbeing of students </w:t>
            </w:r>
          </w:p>
          <w:p w14:paraId="08F97A2B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Provide students a safe, supportive environment</w:t>
            </w:r>
          </w:p>
          <w:p w14:paraId="65D07E4A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 xml:space="preserve">Interact ethically and professionally with </w:t>
            </w: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br/>
              <w:t xml:space="preserve">other members of the university community </w:t>
            </w:r>
          </w:p>
          <w:p w14:paraId="0A89BF58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 xml:space="preserve">Connect students with appropriate </w:t>
            </w: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br/>
              <w:t>university offices and resources</w:t>
            </w:r>
          </w:p>
          <w:p w14:paraId="617E3A01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Help resolve student problems and conflicts</w:t>
            </w:r>
          </w:p>
        </w:tc>
      </w:tr>
      <w:tr w:rsidR="00B7759A" w:rsidRPr="009F37D3" w14:paraId="3C2B8213" w14:textId="77777777" w:rsidTr="00AC3D73">
        <w:trPr>
          <w:trHeight w:val="320"/>
        </w:trPr>
        <w:tc>
          <w:tcPr>
            <w:tcW w:w="4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615C88" w14:textId="77777777" w:rsidR="00B7759A" w:rsidRPr="002E6B2A" w:rsidRDefault="00B7759A" w:rsidP="00AC3D73">
            <w:pPr>
              <w:jc w:val="center"/>
              <w:rPr>
                <w:rFonts w:cstheme="minorHAnsi"/>
                <w:caps/>
                <w:color w:val="13294B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13294B"/>
              </w:rPr>
              <w:t>Academic Success</w:t>
            </w:r>
          </w:p>
        </w:tc>
        <w:tc>
          <w:tcPr>
            <w:tcW w:w="48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27AA2B" w14:textId="77777777" w:rsidR="00B7759A" w:rsidRPr="002E6B2A" w:rsidRDefault="00B7759A" w:rsidP="00AC3D73">
            <w:pPr>
              <w:jc w:val="center"/>
              <w:rPr>
                <w:rFonts w:cstheme="minorHAnsi"/>
                <w:color w:val="E84A27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E84A27"/>
              </w:rPr>
              <w:t>Academic Success</w:t>
            </w: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B80883" w14:textId="77777777" w:rsidR="00B7759A" w:rsidRPr="002E6B2A" w:rsidRDefault="00B7759A" w:rsidP="00AC3D73">
            <w:pPr>
              <w:jc w:val="center"/>
              <w:rPr>
                <w:rFonts w:cstheme="minorHAnsi"/>
                <w:caps/>
                <w:color w:val="7F7F7F" w:themeColor="text1" w:themeTint="80"/>
              </w:rPr>
            </w:pPr>
            <w:r w:rsidRPr="002E6B2A">
              <w:rPr>
                <w:rFonts w:cstheme="minorHAnsi"/>
                <w:caps/>
                <w:color w:val="7F7F7F" w:themeColor="text1" w:themeTint="80"/>
              </w:rPr>
              <w:t>Academic Success</w:t>
            </w:r>
          </w:p>
        </w:tc>
      </w:tr>
      <w:tr w:rsidR="00B7759A" w:rsidRPr="009F37D3" w14:paraId="705C44E4" w14:textId="77777777" w:rsidTr="00AC3D73">
        <w:trPr>
          <w:trHeight w:val="3497"/>
        </w:trPr>
        <w:tc>
          <w:tcPr>
            <w:tcW w:w="4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29EFBC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Guide students in developing academic and research skills</w:t>
            </w:r>
          </w:p>
          <w:p w14:paraId="1FDF0186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Convey clear expectations for academic and research progress</w:t>
            </w:r>
          </w:p>
          <w:p w14:paraId="494A3FD4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Provide timely, constructive feedback and </w:t>
            </w:r>
            <w:r w:rsidRPr="002E6B2A">
              <w:rPr>
                <w:rFonts w:cstheme="minorHAnsi"/>
                <w:color w:val="13294B"/>
                <w:sz w:val="18"/>
                <w:szCs w:val="18"/>
              </w:rPr>
              <w:br/>
              <w:t>periodic evaluations</w:t>
            </w:r>
          </w:p>
          <w:p w14:paraId="407F932A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Evaluate students’ performance fairly and objectively</w:t>
            </w:r>
          </w:p>
          <w:p w14:paraId="793D825A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Promote students’ timely academic and research progress</w:t>
            </w:r>
          </w:p>
          <w:p w14:paraId="47BEBD91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Advise students on requirements for academic integrity, responsible conduct of research and other relevant policies</w:t>
            </w:r>
          </w:p>
        </w:tc>
        <w:tc>
          <w:tcPr>
            <w:tcW w:w="48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B3BB7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>Be receptive to academic and research direction and feedback from advis</w:t>
            </w:r>
            <w:r w:rsidR="00972E11">
              <w:rPr>
                <w:rFonts w:cstheme="minorHAnsi"/>
                <w:color w:val="E84A27"/>
                <w:sz w:val="18"/>
                <w:szCs w:val="18"/>
              </w:rPr>
              <w:t>e</w:t>
            </w:r>
            <w:r w:rsidRPr="002E6B2A">
              <w:rPr>
                <w:rFonts w:cstheme="minorHAnsi"/>
                <w:color w:val="E84A27"/>
                <w:sz w:val="18"/>
                <w:szCs w:val="18"/>
              </w:rPr>
              <w:t xml:space="preserve">rs </w:t>
            </w:r>
          </w:p>
          <w:p w14:paraId="41AEC5BB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 xml:space="preserve">Take responsibility for knowing and fulfilling </w:t>
            </w:r>
            <w:r w:rsidRPr="002E6B2A">
              <w:rPr>
                <w:rFonts w:cstheme="minorHAnsi"/>
                <w:color w:val="E84A27"/>
                <w:sz w:val="18"/>
                <w:szCs w:val="18"/>
              </w:rPr>
              <w:br/>
              <w:t>degree requirements</w:t>
            </w:r>
          </w:p>
          <w:p w14:paraId="68E46049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>Take responsibility for knowing and executing ethical, professional norms</w:t>
            </w:r>
          </w:p>
          <w:p w14:paraId="1C4ECA0E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 xml:space="preserve">Understand and follow department, Graduate College and </w:t>
            </w:r>
            <w:r w:rsidR="00972E11">
              <w:rPr>
                <w:rFonts w:cstheme="minorHAnsi"/>
                <w:color w:val="E84A27"/>
                <w:sz w:val="18"/>
                <w:szCs w:val="18"/>
              </w:rPr>
              <w:t xml:space="preserve">university policies, including </w:t>
            </w:r>
            <w:r w:rsidRPr="002E6B2A">
              <w:rPr>
                <w:rFonts w:cstheme="minorHAnsi"/>
                <w:color w:val="E84A27"/>
                <w:sz w:val="18"/>
                <w:szCs w:val="18"/>
              </w:rPr>
              <w:t>academic integrity, student conduct and responsible conduct of research</w:t>
            </w: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AA4664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Provide information about degree requirements, academic policies and expectations</w:t>
            </w:r>
          </w:p>
          <w:p w14:paraId="405B32DC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 xml:space="preserve">Share information about fellowships, </w:t>
            </w: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br/>
              <w:t>awards and other academic opportunities</w:t>
            </w:r>
          </w:p>
          <w:p w14:paraId="05BAF52C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Monitor student academic progress, providing at least yearly evaluations and communicating these with students</w:t>
            </w:r>
          </w:p>
        </w:tc>
      </w:tr>
      <w:tr w:rsidR="00B7759A" w:rsidRPr="009F37D3" w14:paraId="2903A6A8" w14:textId="77777777" w:rsidTr="00AC3D73">
        <w:trPr>
          <w:trHeight w:val="356"/>
        </w:trPr>
        <w:tc>
          <w:tcPr>
            <w:tcW w:w="4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CBC99A" w14:textId="77777777" w:rsidR="00B7759A" w:rsidRPr="002E6B2A" w:rsidRDefault="00B7759A" w:rsidP="00AC3D73">
            <w:pPr>
              <w:jc w:val="center"/>
              <w:rPr>
                <w:rFonts w:cstheme="minorHAnsi"/>
                <w:caps/>
                <w:color w:val="13294B"/>
              </w:rPr>
            </w:pPr>
            <w:r w:rsidRPr="002E6B2A">
              <w:rPr>
                <w:rFonts w:cstheme="minorHAnsi"/>
                <w:caps/>
                <w:color w:val="13294B"/>
              </w:rPr>
              <w:t>Career Development</w:t>
            </w:r>
          </w:p>
        </w:tc>
        <w:tc>
          <w:tcPr>
            <w:tcW w:w="48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01ECA5" w14:textId="77777777" w:rsidR="00B7759A" w:rsidRPr="002E6B2A" w:rsidRDefault="00B7759A" w:rsidP="00AC3D73">
            <w:pPr>
              <w:jc w:val="center"/>
              <w:rPr>
                <w:rFonts w:cstheme="minorHAnsi"/>
                <w:color w:val="E84A27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E84A27"/>
              </w:rPr>
              <w:t>Career Development</w:t>
            </w: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E0254B" w14:textId="77777777" w:rsidR="00B7759A" w:rsidRPr="002E6B2A" w:rsidRDefault="00B7759A" w:rsidP="00AC3D73">
            <w:pPr>
              <w:jc w:val="center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2E6B2A">
              <w:rPr>
                <w:rFonts w:cstheme="minorHAnsi"/>
                <w:caps/>
                <w:color w:val="7F7F7F" w:themeColor="text1" w:themeTint="80"/>
              </w:rPr>
              <w:t>Career Development</w:t>
            </w:r>
          </w:p>
        </w:tc>
      </w:tr>
      <w:tr w:rsidR="00B7759A" w:rsidRPr="009F37D3" w14:paraId="0A28E6BE" w14:textId="77777777" w:rsidTr="00AC3D73">
        <w:trPr>
          <w:trHeight w:val="2219"/>
        </w:trPr>
        <w:tc>
          <w:tcPr>
            <w:tcW w:w="4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1D50E7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Foster the professional development of students to prepare</w:t>
            </w:r>
            <w:r w:rsidR="00E879DC">
              <w:rPr>
                <w:rFonts w:cstheme="minorHAnsi"/>
                <w:color w:val="13294B"/>
                <w:sz w:val="18"/>
                <w:szCs w:val="18"/>
              </w:rPr>
              <w:t xml:space="preserve"> for</w:t>
            </w: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 </w:t>
            </w:r>
            <w:r w:rsidR="009C7408">
              <w:rPr>
                <w:rFonts w:cstheme="minorHAnsi"/>
                <w:color w:val="13294B"/>
                <w:sz w:val="18"/>
                <w:szCs w:val="18"/>
              </w:rPr>
              <w:t>a wide range of</w:t>
            </w: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 future employment</w:t>
            </w:r>
            <w:r w:rsidR="009C7408">
              <w:rPr>
                <w:rFonts w:cstheme="minorHAnsi"/>
                <w:color w:val="13294B"/>
                <w:sz w:val="18"/>
                <w:szCs w:val="18"/>
              </w:rPr>
              <w:t xml:space="preserve"> options</w:t>
            </w:r>
          </w:p>
          <w:p w14:paraId="5BB56789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Assist students in achieving their career goals</w:t>
            </w:r>
          </w:p>
          <w:p w14:paraId="5951E6C2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 xml:space="preserve">Encourage </w:t>
            </w:r>
            <w:r w:rsidR="00972E11">
              <w:rPr>
                <w:rFonts w:cstheme="minorHAnsi"/>
                <w:color w:val="13294B"/>
                <w:sz w:val="18"/>
                <w:szCs w:val="18"/>
              </w:rPr>
              <w:t>engagement</w:t>
            </w:r>
            <w:r w:rsidR="009C7408">
              <w:rPr>
                <w:rFonts w:cstheme="minorHAnsi"/>
                <w:color w:val="13294B"/>
                <w:sz w:val="18"/>
                <w:szCs w:val="18"/>
              </w:rPr>
              <w:t xml:space="preserve"> in professional communities and meetings </w:t>
            </w:r>
            <w:r w:rsidRPr="002E6B2A">
              <w:rPr>
                <w:rFonts w:cstheme="minorHAnsi"/>
                <w:color w:val="13294B"/>
                <w:sz w:val="18"/>
                <w:szCs w:val="18"/>
              </w:rPr>
              <w:t>to foster potential career opportunities</w:t>
            </w:r>
          </w:p>
          <w:p w14:paraId="360E8136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60"/>
              <w:ind w:left="432" w:hanging="144"/>
              <w:contextualSpacing w:val="0"/>
              <w:rPr>
                <w:rFonts w:cstheme="minorHAnsi"/>
                <w:color w:val="13294B"/>
                <w:sz w:val="18"/>
                <w:szCs w:val="18"/>
              </w:rPr>
            </w:pPr>
            <w:r w:rsidRPr="002E6B2A">
              <w:rPr>
                <w:rFonts w:cstheme="minorHAnsi"/>
                <w:color w:val="13294B"/>
                <w:sz w:val="18"/>
                <w:szCs w:val="18"/>
              </w:rPr>
              <w:t>Advise students regarding the ethics of their profession</w:t>
            </w:r>
          </w:p>
        </w:tc>
        <w:tc>
          <w:tcPr>
            <w:tcW w:w="48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FBB33" w14:textId="77777777" w:rsidR="00B7759A" w:rsidRPr="00AA72A2" w:rsidRDefault="009C7408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AA72A2">
              <w:rPr>
                <w:rFonts w:cstheme="minorHAnsi"/>
                <w:color w:val="E84A27"/>
                <w:sz w:val="18"/>
                <w:szCs w:val="18"/>
              </w:rPr>
              <w:t>Identify professional development needs</w:t>
            </w:r>
            <w:r w:rsidR="00AA72A2" w:rsidRPr="00AA72A2">
              <w:rPr>
                <w:rFonts w:cstheme="minorHAnsi"/>
                <w:color w:val="E84A27"/>
                <w:sz w:val="18"/>
                <w:szCs w:val="18"/>
              </w:rPr>
              <w:t xml:space="preserve"> </w:t>
            </w:r>
            <w:r w:rsidR="00AA72A2">
              <w:rPr>
                <w:rFonts w:cstheme="minorHAnsi"/>
                <w:color w:val="E84A27"/>
                <w:sz w:val="18"/>
                <w:szCs w:val="18"/>
              </w:rPr>
              <w:t>and p</w:t>
            </w:r>
            <w:r w:rsidR="00B7759A" w:rsidRPr="00AA72A2">
              <w:rPr>
                <w:rFonts w:cstheme="minorHAnsi"/>
                <w:color w:val="E84A27"/>
                <w:sz w:val="18"/>
                <w:szCs w:val="18"/>
              </w:rPr>
              <w:t xml:space="preserve">ursue </w:t>
            </w:r>
            <w:r w:rsidR="00AA72A2">
              <w:rPr>
                <w:rFonts w:cstheme="minorHAnsi"/>
                <w:color w:val="E84A27"/>
                <w:sz w:val="18"/>
                <w:szCs w:val="18"/>
              </w:rPr>
              <w:t>appropriate</w:t>
            </w:r>
            <w:r w:rsidR="00B7759A" w:rsidRPr="00AA72A2">
              <w:rPr>
                <w:rFonts w:cstheme="minorHAnsi"/>
                <w:color w:val="E84A27"/>
                <w:sz w:val="18"/>
                <w:szCs w:val="18"/>
              </w:rPr>
              <w:t xml:space="preserve"> opportunities</w:t>
            </w:r>
          </w:p>
          <w:p w14:paraId="703D7169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80"/>
              <w:ind w:left="432" w:hanging="144"/>
              <w:contextualSpacing w:val="0"/>
              <w:rPr>
                <w:rFonts w:cstheme="minorHAnsi"/>
                <w:color w:val="E84A27"/>
                <w:sz w:val="18"/>
                <w:szCs w:val="18"/>
              </w:rPr>
            </w:pPr>
            <w:r w:rsidRPr="002E6B2A">
              <w:rPr>
                <w:rFonts w:cstheme="minorHAnsi"/>
                <w:color w:val="E84A27"/>
                <w:sz w:val="18"/>
                <w:szCs w:val="18"/>
              </w:rPr>
              <w:t xml:space="preserve">Take initiative for career exploration and </w:t>
            </w:r>
            <w:r w:rsidR="00AA72A2">
              <w:rPr>
                <w:rFonts w:cstheme="minorHAnsi"/>
                <w:color w:val="E84A27"/>
                <w:sz w:val="18"/>
                <w:szCs w:val="18"/>
              </w:rPr>
              <w:t>the job search</w:t>
            </w:r>
          </w:p>
        </w:tc>
        <w:tc>
          <w:tcPr>
            <w:tcW w:w="4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34B9D7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Promote student engagement in professional development programs</w:t>
            </w:r>
          </w:p>
          <w:p w14:paraId="01CA27C7" w14:textId="77777777" w:rsidR="00E879DC" w:rsidRPr="008056B4" w:rsidRDefault="00E879DC" w:rsidP="00AC3D73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8056B4">
              <w:rPr>
                <w:rFonts w:cstheme="minorHAnsi"/>
                <w:color w:val="404040" w:themeColor="text1" w:themeTint="BF"/>
                <w:sz w:val="18"/>
                <w:szCs w:val="18"/>
              </w:rPr>
              <w:t>Foster the professional development of students to prepare for a wide range of future employment options</w:t>
            </w:r>
          </w:p>
          <w:p w14:paraId="4364B963" w14:textId="77777777" w:rsidR="00B7759A" w:rsidRPr="002E6B2A" w:rsidRDefault="00B7759A" w:rsidP="00AC3D73">
            <w:pPr>
              <w:pStyle w:val="ListParagraph"/>
              <w:numPr>
                <w:ilvl w:val="0"/>
                <w:numId w:val="3"/>
              </w:numPr>
              <w:spacing w:before="60" w:after="120"/>
              <w:ind w:left="432" w:hanging="144"/>
              <w:contextualSpacing w:val="0"/>
              <w:rPr>
                <w:rFonts w:cstheme="minorHAnsi"/>
                <w:color w:val="404040" w:themeColor="text1" w:themeTint="BF"/>
                <w:sz w:val="18"/>
                <w:szCs w:val="18"/>
              </w:rPr>
            </w:pPr>
            <w:r w:rsidRPr="002E6B2A">
              <w:rPr>
                <w:rFonts w:cstheme="minorHAnsi"/>
                <w:color w:val="404040" w:themeColor="text1" w:themeTint="BF"/>
                <w:sz w:val="18"/>
                <w:szCs w:val="18"/>
              </w:rPr>
              <w:t>Direct students to resources that can help them pursue and succeed in their careers of choice</w:t>
            </w:r>
          </w:p>
        </w:tc>
      </w:tr>
    </w:tbl>
    <w:p w14:paraId="5E28CE21" w14:textId="77777777" w:rsidR="003B45AA" w:rsidRPr="00AC3D73" w:rsidRDefault="003B45AA" w:rsidP="00AC3D73">
      <w:pPr>
        <w:pStyle w:val="Header"/>
        <w:rPr>
          <w:rFonts w:cstheme="minorHAnsi"/>
          <w:b/>
          <w:sz w:val="24"/>
          <w:szCs w:val="48"/>
        </w:rPr>
      </w:pPr>
    </w:p>
    <w:sectPr w:rsidR="003B45AA" w:rsidRPr="00AC3D73" w:rsidSect="000B13C9">
      <w:headerReference w:type="default" r:id="rId8"/>
      <w:footerReference w:type="default" r:id="rId9"/>
      <w:pgSz w:w="15840" w:h="12240" w:orient="landscape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4222" w14:textId="77777777" w:rsidR="00DE33DD" w:rsidRDefault="00DE33DD" w:rsidP="009F37D3">
      <w:pPr>
        <w:spacing w:after="0" w:line="240" w:lineRule="auto"/>
      </w:pPr>
      <w:r>
        <w:separator/>
      </w:r>
    </w:p>
  </w:endnote>
  <w:endnote w:type="continuationSeparator" w:id="0">
    <w:p w14:paraId="27155256" w14:textId="77777777" w:rsidR="00DE33DD" w:rsidRDefault="00DE33DD" w:rsidP="009F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emibold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74B4" w14:textId="77777777" w:rsidR="009F37D3" w:rsidRPr="00C75CBE" w:rsidRDefault="003B45AA" w:rsidP="003B45AA">
    <w:pPr>
      <w:pStyle w:val="Footer"/>
      <w:jc w:val="center"/>
      <w:rPr>
        <w:color w:val="7F7F7F" w:themeColor="text1" w:themeTint="80"/>
      </w:rPr>
    </w:pPr>
    <w:r w:rsidRPr="00C75CBE">
      <w:rPr>
        <w:color w:val="7F7F7F" w:themeColor="text1" w:themeTint="80"/>
      </w:rPr>
      <w:t>The Graduate College   |   grad.illinois.edu   |   grad@illinois.edu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5DDE4" w14:textId="77777777" w:rsidR="00DE33DD" w:rsidRDefault="00DE33DD" w:rsidP="009F37D3">
      <w:pPr>
        <w:spacing w:after="0" w:line="240" w:lineRule="auto"/>
      </w:pPr>
      <w:r>
        <w:separator/>
      </w:r>
    </w:p>
  </w:footnote>
  <w:footnote w:type="continuationSeparator" w:id="0">
    <w:p w14:paraId="598F65AD" w14:textId="77777777" w:rsidR="00DE33DD" w:rsidRDefault="00DE33DD" w:rsidP="009F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5979" w14:textId="77777777" w:rsidR="00B04162" w:rsidRDefault="00B04162" w:rsidP="005451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6681"/>
    <w:multiLevelType w:val="hybridMultilevel"/>
    <w:tmpl w:val="B424387E"/>
    <w:lvl w:ilvl="0" w:tplc="4280A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96095"/>
    <w:multiLevelType w:val="hybridMultilevel"/>
    <w:tmpl w:val="E6EC947C"/>
    <w:lvl w:ilvl="0" w:tplc="4280A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845BE"/>
    <w:multiLevelType w:val="hybridMultilevel"/>
    <w:tmpl w:val="BFFCB70A"/>
    <w:lvl w:ilvl="0" w:tplc="BD109F36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6473A"/>
    <w:multiLevelType w:val="hybridMultilevel"/>
    <w:tmpl w:val="5F7458DC"/>
    <w:lvl w:ilvl="0" w:tplc="4280A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9B046A"/>
    <w:multiLevelType w:val="hybridMultilevel"/>
    <w:tmpl w:val="0E68EA06"/>
    <w:lvl w:ilvl="0" w:tplc="4280A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026E6"/>
    <w:multiLevelType w:val="hybridMultilevel"/>
    <w:tmpl w:val="EEB406A8"/>
    <w:lvl w:ilvl="0" w:tplc="4280A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3"/>
    <w:rsid w:val="00005068"/>
    <w:rsid w:val="000B13C9"/>
    <w:rsid w:val="00144880"/>
    <w:rsid w:val="00155B1F"/>
    <w:rsid w:val="001571B2"/>
    <w:rsid w:val="0016049C"/>
    <w:rsid w:val="001E4B6E"/>
    <w:rsid w:val="00240DE5"/>
    <w:rsid w:val="002C2291"/>
    <w:rsid w:val="002E05EC"/>
    <w:rsid w:val="002E6B2A"/>
    <w:rsid w:val="002F0846"/>
    <w:rsid w:val="002F4FEC"/>
    <w:rsid w:val="00320750"/>
    <w:rsid w:val="00333853"/>
    <w:rsid w:val="0038286F"/>
    <w:rsid w:val="003B45AA"/>
    <w:rsid w:val="004B62F5"/>
    <w:rsid w:val="005451F0"/>
    <w:rsid w:val="005731DE"/>
    <w:rsid w:val="005C5F5B"/>
    <w:rsid w:val="00642B16"/>
    <w:rsid w:val="00723224"/>
    <w:rsid w:val="00755DDB"/>
    <w:rsid w:val="007835BF"/>
    <w:rsid w:val="00786AD0"/>
    <w:rsid w:val="008056B4"/>
    <w:rsid w:val="008072AA"/>
    <w:rsid w:val="00830045"/>
    <w:rsid w:val="009228AA"/>
    <w:rsid w:val="00972E11"/>
    <w:rsid w:val="009C7408"/>
    <w:rsid w:val="009F37D3"/>
    <w:rsid w:val="009F4402"/>
    <w:rsid w:val="00A35210"/>
    <w:rsid w:val="00AA72A2"/>
    <w:rsid w:val="00AC3D73"/>
    <w:rsid w:val="00B04162"/>
    <w:rsid w:val="00B638D2"/>
    <w:rsid w:val="00B7759A"/>
    <w:rsid w:val="00C53F1B"/>
    <w:rsid w:val="00C75CBE"/>
    <w:rsid w:val="00D15D69"/>
    <w:rsid w:val="00D60D52"/>
    <w:rsid w:val="00DC5853"/>
    <w:rsid w:val="00DE33DD"/>
    <w:rsid w:val="00E15456"/>
    <w:rsid w:val="00E534E8"/>
    <w:rsid w:val="00E879DC"/>
    <w:rsid w:val="00EC6191"/>
    <w:rsid w:val="00ED24C1"/>
    <w:rsid w:val="00EE0BEF"/>
    <w:rsid w:val="00EE35BE"/>
    <w:rsid w:val="00F11C0B"/>
    <w:rsid w:val="00FB570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E1637"/>
  <w15:chartTrackingRefBased/>
  <w15:docId w15:val="{BB62B15B-7573-4F14-BD0C-8165955F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7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D3"/>
  </w:style>
  <w:style w:type="paragraph" w:styleId="Footer">
    <w:name w:val="footer"/>
    <w:basedOn w:val="Normal"/>
    <w:link w:val="FooterChar"/>
    <w:uiPriority w:val="99"/>
    <w:unhideWhenUsed/>
    <w:rsid w:val="009F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D3"/>
  </w:style>
  <w:style w:type="paragraph" w:styleId="BalloonText">
    <w:name w:val="Balloon Text"/>
    <w:basedOn w:val="Normal"/>
    <w:link w:val="BalloonTextChar"/>
    <w:uiPriority w:val="99"/>
    <w:semiHidden/>
    <w:unhideWhenUsed/>
    <w:rsid w:val="003B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5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Alexis L</dc:creator>
  <cp:keywords/>
  <dc:description/>
  <cp:lastModifiedBy>Merry, Jennifer</cp:lastModifiedBy>
  <cp:revision>3</cp:revision>
  <cp:lastPrinted>2019-10-15T21:10:00Z</cp:lastPrinted>
  <dcterms:created xsi:type="dcterms:W3CDTF">2021-04-19T14:20:00Z</dcterms:created>
  <dcterms:modified xsi:type="dcterms:W3CDTF">2021-04-19T14:20:00Z</dcterms:modified>
</cp:coreProperties>
</file>