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7A7A" w14:textId="1215E142" w:rsidR="00000000" w:rsidRPr="00E55C92" w:rsidRDefault="004A142A" w:rsidP="004A142A">
      <w:pPr>
        <w:jc w:val="center"/>
        <w:rPr>
          <w:rFonts w:asciiTheme="minorHAnsi" w:hAnsiTheme="minorHAnsi" w:cstheme="minorHAnsi"/>
        </w:rPr>
      </w:pPr>
      <w:r w:rsidRPr="00E55C92">
        <w:rPr>
          <w:rFonts w:asciiTheme="minorHAnsi" w:hAnsiTheme="minorHAnsi" w:cstheme="minorHAnsi"/>
        </w:rPr>
        <w:t>Physics 3</w:t>
      </w:r>
      <w:r w:rsidR="00446BA0">
        <w:rPr>
          <w:rFonts w:asciiTheme="minorHAnsi" w:hAnsiTheme="minorHAnsi" w:cstheme="minorHAnsi"/>
        </w:rPr>
        <w:t xml:space="preserve">70 </w:t>
      </w:r>
    </w:p>
    <w:p w14:paraId="11AA7630" w14:textId="77777777" w:rsidR="004A142A" w:rsidRDefault="004A142A" w:rsidP="004A142A">
      <w:pPr>
        <w:pStyle w:val="ListParagraph"/>
        <w:numPr>
          <w:ilvl w:val="0"/>
          <w:numId w:val="2"/>
        </w:numPr>
      </w:pPr>
      <w:r>
        <w:t>Title: Introduction to Quantum Information and Computing</w:t>
      </w:r>
    </w:p>
    <w:p w14:paraId="5384B713" w14:textId="7B7759F2" w:rsidR="004A142A" w:rsidRDefault="004A142A" w:rsidP="004A142A">
      <w:pPr>
        <w:pStyle w:val="ListParagraph"/>
        <w:numPr>
          <w:ilvl w:val="0"/>
          <w:numId w:val="2"/>
        </w:numPr>
      </w:pPr>
      <w:r>
        <w:t xml:space="preserve">Abbreviated title: </w:t>
      </w:r>
    </w:p>
    <w:p w14:paraId="2570311D" w14:textId="77777777" w:rsidR="004A142A" w:rsidRDefault="004A142A" w:rsidP="004A142A">
      <w:pPr>
        <w:pStyle w:val="ListParagraph"/>
        <w:numPr>
          <w:ilvl w:val="0"/>
          <w:numId w:val="2"/>
        </w:numPr>
      </w:pPr>
      <w:r>
        <w:t>Short description:</w:t>
      </w:r>
    </w:p>
    <w:p w14:paraId="5C18FDE0" w14:textId="77777777" w:rsidR="004A142A" w:rsidRDefault="004A142A" w:rsidP="004A142A">
      <w:pPr>
        <w:pStyle w:val="ListParagraph"/>
        <w:ind w:left="360"/>
      </w:pPr>
      <w:r>
        <w:t xml:space="preserve">Introduction to quantum information and computing for sophomores and juniors from any major.  Self-contained description of quantum states and qubits, operators, measurements, </w:t>
      </w:r>
      <w:r w:rsidR="00EB7EF7">
        <w:t xml:space="preserve">tensor products, </w:t>
      </w:r>
      <w:r>
        <w:t>density matrices, entanglement, gates and circuits and algorithms.  Students will apply the basic components of quantum mechanics to program online quantum computers to gain insight into the Deutsch-Jozsa, Grover and Shor algorithms</w:t>
      </w:r>
      <w:r w:rsidR="000A3046">
        <w:t>, as well as teleportation, super-dense coding and entanglement swapping.</w:t>
      </w:r>
    </w:p>
    <w:p w14:paraId="45D05A22" w14:textId="77777777" w:rsidR="000A3046" w:rsidRDefault="00FF5F7E" w:rsidP="000A3046">
      <w:pPr>
        <w:pStyle w:val="ListParagraph"/>
        <w:numPr>
          <w:ilvl w:val="0"/>
          <w:numId w:val="2"/>
        </w:numPr>
      </w:pPr>
      <w:r>
        <w:t xml:space="preserve">Justification: Quantum information and computing is a topic of great current interest as evidenced by the large efforts in both industry (e.g. Google, IBM, Microsoft, Amazon, etc.), academia (IQUIST, etc.) and government (National Quantum Initiative, 5 National Quantum Information Science Research Centers). </w:t>
      </w:r>
      <w:r w:rsidR="000A3046">
        <w:t>There are no other introductory quantum information and computing courses on campus.  Related higher-level courses include ECE498EC (more concentration on theory, quantum communication</w:t>
      </w:r>
      <w:r w:rsidR="002F203D">
        <w:t>, about 15% overlap with proposed PHY370</w:t>
      </w:r>
      <w:r w:rsidR="000A3046">
        <w:t xml:space="preserve">), PHYS5?? </w:t>
      </w:r>
      <w:r>
        <w:t xml:space="preserve">Atomic physics graduate-level courses that focus on applications in laser physics </w:t>
      </w:r>
      <w:r w:rsidR="002F203D">
        <w:t xml:space="preserve">with &lt; 10% overlap </w:t>
      </w:r>
      <w:r>
        <w:t>(Kwiat), atomic physics</w:t>
      </w:r>
      <w:r w:rsidR="002F203D">
        <w:t>, about 10% overlap,</w:t>
      </w:r>
      <w:r>
        <w:t xml:space="preserve"> (DeMarco) and superconducting systems</w:t>
      </w:r>
      <w:r w:rsidR="002F203D">
        <w:t>, &lt; 10% overlap</w:t>
      </w:r>
      <w:r>
        <w:t xml:space="preserve"> (van Harlingen).  </w:t>
      </w:r>
      <w:r w:rsidR="00E51994">
        <w:t xml:space="preserve">The Physics grad courses are all at a significantly higher level and focus on applications of what would be taught in Phys. 370.  </w:t>
      </w:r>
      <w:r>
        <w:t>There is also a graduate level course in Math 490QC: mathematical techniques relevant for quantum information theory</w:t>
      </w:r>
      <w:r w:rsidR="002F203D">
        <w:t>, again an overlap of about 10%</w:t>
      </w:r>
      <w:r>
        <w:t>.</w:t>
      </w:r>
      <w:r w:rsidR="00E51994">
        <w:t xml:space="preserve">  In this case the Math course, taught at a higher level would provide rigorous mathematical background relevant for the simplified presentation in Phys. 370.</w:t>
      </w:r>
    </w:p>
    <w:p w14:paraId="651EA96F" w14:textId="77777777" w:rsidR="00FF5F7E" w:rsidRDefault="00FF5F7E" w:rsidP="000A3046">
      <w:pPr>
        <w:pStyle w:val="ListParagraph"/>
        <w:numPr>
          <w:ilvl w:val="0"/>
          <w:numId w:val="2"/>
        </w:numPr>
      </w:pPr>
      <w:r>
        <w:t>Credit hours: 3</w:t>
      </w:r>
    </w:p>
    <w:p w14:paraId="6456F46B" w14:textId="33AC6A04" w:rsidR="00FF5F7E" w:rsidRDefault="00FF5F7E" w:rsidP="000A3046">
      <w:pPr>
        <w:pStyle w:val="ListParagraph"/>
        <w:numPr>
          <w:ilvl w:val="0"/>
          <w:numId w:val="2"/>
        </w:numPr>
      </w:pPr>
      <w:r>
        <w:t xml:space="preserve">Who else can teach: DeMarco, Kwiat, </w:t>
      </w:r>
      <w:r w:rsidR="00991D75">
        <w:t>Covey</w:t>
      </w:r>
      <w:r>
        <w:t>, Lorenz, Pfaff, Kou, Clark, …</w:t>
      </w:r>
    </w:p>
    <w:p w14:paraId="76EB98B1" w14:textId="77777777" w:rsidR="00FF5F7E" w:rsidRDefault="00FF5F7E" w:rsidP="000A3046">
      <w:pPr>
        <w:pStyle w:val="ListParagraph"/>
        <w:numPr>
          <w:ilvl w:val="0"/>
          <w:numId w:val="2"/>
        </w:numPr>
      </w:pPr>
      <w:r>
        <w:t>Prerequisites: Phys. 214</w:t>
      </w:r>
    </w:p>
    <w:p w14:paraId="474DA6C0" w14:textId="77777777" w:rsidR="00FF5F7E" w:rsidRDefault="00FF5F7E" w:rsidP="000A3046">
      <w:pPr>
        <w:pStyle w:val="ListParagraph"/>
        <w:numPr>
          <w:ilvl w:val="0"/>
          <w:numId w:val="2"/>
        </w:numPr>
      </w:pPr>
      <w:r>
        <w:t>Concurrent enrollment courses: none</w:t>
      </w:r>
    </w:p>
    <w:p w14:paraId="0902F5AF" w14:textId="77777777" w:rsidR="00FF5F7E" w:rsidRDefault="00FF5F7E" w:rsidP="000A3046">
      <w:pPr>
        <w:pStyle w:val="ListParagraph"/>
        <w:numPr>
          <w:ilvl w:val="0"/>
          <w:numId w:val="2"/>
        </w:numPr>
      </w:pPr>
      <w:r>
        <w:t xml:space="preserve">Text: David McMahon, </w:t>
      </w:r>
      <w:r>
        <w:rPr>
          <w:u w:val="single"/>
        </w:rPr>
        <w:t>Quantum Computing Explained</w:t>
      </w:r>
      <w:r>
        <w:t>, 1</w:t>
      </w:r>
      <w:r w:rsidRPr="00FF5F7E">
        <w:rPr>
          <w:vertAlign w:val="superscript"/>
        </w:rPr>
        <w:t>st</w:t>
      </w:r>
      <w:r>
        <w:t xml:space="preserve"> edition</w:t>
      </w:r>
    </w:p>
    <w:p w14:paraId="5197FD8F" w14:textId="77777777" w:rsidR="00EB7EF7" w:rsidRDefault="00EB7EF7" w:rsidP="000A3046">
      <w:pPr>
        <w:pStyle w:val="ListParagraph"/>
        <w:numPr>
          <w:ilvl w:val="0"/>
          <w:numId w:val="2"/>
        </w:numPr>
      </w:pPr>
      <w:r>
        <w:t>Learning objectives:</w:t>
      </w:r>
    </w:p>
    <w:p w14:paraId="4EE73FA0" w14:textId="77777777" w:rsidR="00EB7EF7" w:rsidRDefault="00EB7EF7" w:rsidP="00EB7EF7">
      <w:pPr>
        <w:pStyle w:val="ListParagraph"/>
        <w:numPr>
          <w:ilvl w:val="1"/>
          <w:numId w:val="2"/>
        </w:numPr>
      </w:pPr>
      <w:r>
        <w:t>Understand the basic differences between quantum information/computing and classical information/computing</w:t>
      </w:r>
    </w:p>
    <w:p w14:paraId="1880AD73" w14:textId="77777777" w:rsidR="00EB7EF7" w:rsidRDefault="00EB7EF7" w:rsidP="00EB7EF7">
      <w:pPr>
        <w:pStyle w:val="ListParagraph"/>
        <w:numPr>
          <w:ilvl w:val="1"/>
          <w:numId w:val="2"/>
        </w:numPr>
      </w:pPr>
      <w:r>
        <w:t xml:space="preserve">Become familiar with and be able to </w:t>
      </w:r>
      <w:r w:rsidR="00F32522">
        <w:t>use</w:t>
      </w:r>
      <w:r>
        <w:t xml:space="preserve"> quantum states/qubits, operators, measurements, tensor products, density matrices and entanglement</w:t>
      </w:r>
    </w:p>
    <w:p w14:paraId="1B8AE3D4" w14:textId="77777777" w:rsidR="00EB7EF7" w:rsidRDefault="00EB7EF7" w:rsidP="00EB7EF7">
      <w:pPr>
        <w:pStyle w:val="ListParagraph"/>
        <w:numPr>
          <w:ilvl w:val="1"/>
          <w:numId w:val="2"/>
        </w:numPr>
      </w:pPr>
      <w:r>
        <w:t>Become familiar with and be able to develop quantum algorithms and programs using quantum gates and circuits</w:t>
      </w:r>
    </w:p>
    <w:p w14:paraId="3A5307B2" w14:textId="77777777" w:rsidR="00F32522" w:rsidRDefault="00F32522" w:rsidP="00EB7EF7">
      <w:pPr>
        <w:pStyle w:val="ListParagraph"/>
        <w:numPr>
          <w:ilvl w:val="1"/>
          <w:numId w:val="2"/>
        </w:numPr>
      </w:pPr>
      <w:r>
        <w:t>Become familiar with and program “classic” quantum algorithms including teleportation, Deutsch-Jozsa, Shor, Grover, superdense coding and entanglement swapping</w:t>
      </w:r>
    </w:p>
    <w:p w14:paraId="1E5AFCAD" w14:textId="77777777" w:rsidR="00F32522" w:rsidRDefault="00F32522">
      <w:pPr>
        <w:rPr>
          <w:rFonts w:ascii="Calibri" w:hAnsi="Calibri" w:cs="Calibri"/>
        </w:rPr>
      </w:pPr>
      <w:r>
        <w:br w:type="page"/>
      </w:r>
    </w:p>
    <w:p w14:paraId="239C377D" w14:textId="77777777" w:rsidR="00F32522" w:rsidRDefault="00F32522" w:rsidP="00F32522">
      <w:pPr>
        <w:pStyle w:val="ListParagraph"/>
        <w:numPr>
          <w:ilvl w:val="0"/>
          <w:numId w:val="2"/>
        </w:numPr>
      </w:pPr>
      <w:r>
        <w:lastRenderedPageBreak/>
        <w:t>Weekly schedule</w:t>
      </w:r>
    </w:p>
    <w:tbl>
      <w:tblPr>
        <w:tblW w:w="11498" w:type="dxa"/>
        <w:tblLook w:val="04A0" w:firstRow="1" w:lastRow="0" w:firstColumn="1" w:lastColumn="0" w:noHBand="0" w:noVBand="1"/>
      </w:tblPr>
      <w:tblGrid>
        <w:gridCol w:w="731"/>
        <w:gridCol w:w="889"/>
        <w:gridCol w:w="5490"/>
        <w:gridCol w:w="2171"/>
        <w:gridCol w:w="2217"/>
      </w:tblGrid>
      <w:tr w:rsidR="00F32522" w14:paraId="46900D41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8A8E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42BF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9F6F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3D83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McMahon reading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C2C6" w14:textId="10720107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 </w:t>
            </w:r>
            <w:r w:rsidR="001F027D">
              <w:rPr>
                <w:rFonts w:ascii="Calibri" w:hAnsi="Calibri" w:cs="Calibri"/>
                <w:color w:val="000000"/>
                <w:sz w:val="22"/>
                <w:szCs w:val="22"/>
              </w:rPr>
              <w:t>Sp2023</w:t>
            </w:r>
          </w:p>
        </w:tc>
      </w:tr>
      <w:tr w:rsidR="00F32522" w14:paraId="77A32E48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62F6" w14:textId="77777777" w:rsidR="00F32522" w:rsidRDefault="00F325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43DE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86F3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Intro and qubits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CFF3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Ch. 2 pp 11-18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758B" w14:textId="271B1863" w:rsidR="00F32522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HW1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F32522" w14:paraId="55C4057B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9B9" w14:textId="77777777" w:rsidR="00F32522" w:rsidRDefault="00F3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6AEE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F572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Bra-ket, matrices and operators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C6BE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2. 28-31, Ch. 3 pp 39-45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46F0" w14:textId="2098F5D1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2522" w14:paraId="0677AF98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248A" w14:textId="77777777" w:rsidR="00F32522" w:rsidRDefault="00F325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9F57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B4F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Quantum gates and circuits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7576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8 pp. 176-180, 185-192</w:t>
            </w: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897" w14:textId="3C44C191" w:rsidR="00F32522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HW2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F32522" w14:paraId="53268085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1051" w14:textId="77777777" w:rsidR="00F32522" w:rsidRDefault="00F3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D2CF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1CE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cloning, teleportation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FD872C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13 pp. 279-280, 225-228</w:t>
            </w:r>
          </w:p>
        </w:tc>
        <w:tc>
          <w:tcPr>
            <w:tcW w:w="2217" w:type="dxa"/>
            <w:shd w:val="clear" w:color="auto" w:fill="auto"/>
            <w:noWrap/>
            <w:vAlign w:val="bottom"/>
            <w:hideMark/>
          </w:tcPr>
          <w:p w14:paraId="29378CEF" w14:textId="651CD9AB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2522" w14:paraId="19AFA221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40A" w14:textId="77777777" w:rsidR="00F32522" w:rsidRDefault="00F325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F52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FC4A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Basis sets, inner product, orthonormality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93A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Ch. 2 pp 19-28</w:t>
            </w:r>
          </w:p>
        </w:tc>
        <w:tc>
          <w:tcPr>
            <w:tcW w:w="22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0A23" w14:textId="1ED750D6" w:rsidR="00F32522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HW3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F32522" w14:paraId="0B59EA32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956C" w14:textId="77777777" w:rsidR="00F32522" w:rsidRDefault="00F325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0403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AE46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Hermitian operators, etc., eigenstuff, trace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357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3 pp. 46-57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3743" w14:textId="77777777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2522" w14:paraId="14BF8A72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4660" w14:textId="77777777" w:rsidR="00F32522" w:rsidRDefault="00F3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8BEB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54E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Hadamard through quantum interference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B07F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9. pp 197-203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C5D6" w14:textId="77777777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HW4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F32522" w14:paraId="2F271F5F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F9E1" w14:textId="77777777" w:rsidR="00F32522" w:rsidRDefault="00F325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E4A3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0805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Deutsch(-Jozsa)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A9B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9. pp 203-210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10A4" w14:textId="77777777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HW5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F32522" w14:paraId="0B5CC620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5768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E6BC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6561" w14:textId="77777777" w:rsidR="00F32522" w:rsidRDefault="00F32522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Review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2516" w14:textId="77777777" w:rsidR="00F32522" w:rsidRDefault="00F32522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30B" w14:textId="77777777" w:rsidR="00F32522" w:rsidRDefault="00F32522" w:rsidP="00446BA0">
            <w:pPr>
              <w:jc w:val="center"/>
              <w:rPr>
                <w:sz w:val="20"/>
                <w:szCs w:val="20"/>
              </w:rPr>
            </w:pPr>
          </w:p>
        </w:tc>
      </w:tr>
      <w:tr w:rsidR="00F32522" w14:paraId="555FD0CE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6709" w14:textId="77777777" w:rsidR="00F32522" w:rsidRDefault="00F325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7A98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E725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Midterm I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582F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EE39" w14:textId="77777777" w:rsidR="00F32522" w:rsidRDefault="00F32522" w:rsidP="00446BA0">
            <w:pPr>
              <w:jc w:val="center"/>
              <w:rPr>
                <w:sz w:val="20"/>
                <w:szCs w:val="20"/>
              </w:rPr>
            </w:pPr>
          </w:p>
        </w:tc>
      </w:tr>
      <w:tr w:rsidR="00F32522" w14:paraId="5A805F9E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F58" w14:textId="77777777" w:rsidR="00F32522" w:rsidRDefault="00F3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B02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25F9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Expectation values, unitary transformations, projection operators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12D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Ch. 3 pp. 57-66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DE85" w14:textId="77777777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HW6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F32522" w14:paraId="30ECAC30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1F4C" w14:textId="77777777" w:rsidR="00F32522" w:rsidRDefault="00F325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537E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DB0C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Fundamentals of QM: commutators, HUP, SE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1FC5" w14:textId="77777777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3 pp. 66-71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C30" w14:textId="77777777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2522" w14:paraId="2A2F83C1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39C" w14:textId="77777777" w:rsidR="00F32522" w:rsidRDefault="00F32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A6CD" w14:textId="77777777" w:rsidR="00F32522" w:rsidRDefault="00F325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9FB" w14:textId="0AEFDE31" w:rsidR="00F32522" w:rsidRDefault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F32522">
              <w:rPr>
                <w:rFonts w:ascii="Calibri" w:hAnsi="Calibri" w:cs="Calibri"/>
                <w:color w:val="000000"/>
                <w:sz w:val="22"/>
                <w:szCs w:val="22"/>
              </w:rPr>
              <w:t>ensor products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states and operators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150E" w14:textId="12EE3D8D" w:rsidR="00F32522" w:rsidRDefault="00F325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4 pp. 73-</w:t>
            </w:r>
            <w:r w:rsidR="001F027D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FE1" w14:textId="77777777" w:rsidR="00F32522" w:rsidRDefault="00F32522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HW7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1F027D" w14:paraId="73C79967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54DB" w14:textId="77777777" w:rsidR="001F027D" w:rsidRDefault="001F027D" w:rsidP="001F0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5C48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0069" w14:textId="4EC93E45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QFT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9636" w14:textId="7781617C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9 pp. 211-216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55D5" w14:textId="77777777" w:rsidR="001F027D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027D" w14:paraId="7C3F208A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FA21" w14:textId="77777777" w:rsidR="001F027D" w:rsidRDefault="001F027D" w:rsidP="001F0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AB9E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087E3" w14:textId="1966AC1E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Shor/QPE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1836" w14:textId="3985D818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9 pp. 216-218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9621" w14:textId="77777777" w:rsidR="001F027D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HW8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1F027D" w14:paraId="7EA593FD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42F3" w14:textId="77777777" w:rsidR="001F027D" w:rsidRDefault="001F027D" w:rsidP="001F0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1EA5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8CE3" w14:textId="12E5C694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Density operator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BE80" w14:textId="5EBFE8E8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5 pp. 85-92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0CC5" w14:textId="77777777" w:rsidR="001F027D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027D" w14:paraId="0AAC0429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5A7B" w14:textId="77777777" w:rsidR="001F027D" w:rsidRDefault="001F027D" w:rsidP="001F0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E70A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59FA" w14:textId="13FFE0C7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 properties of the density operator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EA282" w14:textId="03570478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5 pp. 92-99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5B7F" w14:textId="77777777" w:rsidR="001F027D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HW9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1F027D" w14:paraId="690AEF34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5764" w14:textId="77777777" w:rsidR="001F027D" w:rsidRDefault="001F027D" w:rsidP="001F0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372D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A7465" w14:textId="2B620BDB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Characterizing mixed states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FF43" w14:textId="6B6D99D6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5 pp. 99-111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C81" w14:textId="77777777" w:rsidR="001F027D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HW10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1F027D" w14:paraId="735DDB23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7C86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0A54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6B4" w14:textId="77777777" w:rsidR="001F027D" w:rsidRDefault="001F027D" w:rsidP="001F027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Review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73A" w14:textId="77777777" w:rsidR="001F027D" w:rsidRDefault="001F027D" w:rsidP="001F027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22FB" w14:textId="77777777" w:rsidR="001F027D" w:rsidRDefault="001F027D" w:rsidP="00446BA0">
            <w:pPr>
              <w:jc w:val="center"/>
              <w:rPr>
                <w:sz w:val="20"/>
                <w:szCs w:val="20"/>
              </w:rPr>
            </w:pPr>
          </w:p>
        </w:tc>
      </w:tr>
      <w:tr w:rsidR="001F027D" w14:paraId="7BCDCE40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B364" w14:textId="77777777" w:rsidR="001F027D" w:rsidRDefault="001F027D" w:rsidP="001F0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EFE6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C0A" w14:textId="77777777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Midterm II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3B2C" w14:textId="77777777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206" w14:textId="77777777" w:rsidR="001F027D" w:rsidRDefault="001F027D" w:rsidP="00446BA0">
            <w:pPr>
              <w:jc w:val="center"/>
              <w:rPr>
                <w:sz w:val="20"/>
                <w:szCs w:val="20"/>
              </w:rPr>
            </w:pPr>
          </w:p>
        </w:tc>
      </w:tr>
      <w:tr w:rsidR="001F027D" w14:paraId="4F9441B9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77CB" w14:textId="77777777" w:rsidR="001F027D" w:rsidRDefault="001F027D" w:rsidP="001F0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7B0B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B15BB" w14:textId="0DDEA499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Partial trace, Bloch vector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DA4BE" w14:textId="315D4817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5 pp. 111-117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BF9A" w14:textId="77777777" w:rsidR="001F027D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HW11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1F027D" w14:paraId="625AC6B8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3AB1" w14:textId="77777777" w:rsidR="001F027D" w:rsidRDefault="001F027D" w:rsidP="001F0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3BAA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FDEC5" w14:textId="39AF2F6C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Grover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208B3" w14:textId="7DFA791C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9 pp. 218-221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B2C4" w14:textId="31C36EBC" w:rsidR="001F027D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HW12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1F027D" w14:paraId="77CC3DB7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F8D" w14:textId="77777777" w:rsidR="001F027D" w:rsidRDefault="001F027D" w:rsidP="001F0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94D6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D62C" w14:textId="10BB19FB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Measurements, projective measurements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3165A" w14:textId="0D0526A1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6 pp. 121-132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F4B" w14:textId="121E5C31" w:rsidR="001F027D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027D" w14:paraId="20EBFD11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7DC7" w14:textId="77777777" w:rsidR="001F027D" w:rsidRDefault="001F027D" w:rsidP="001F02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580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7533B" w14:textId="74E05A31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Measurements on composite systems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CF35" w14:textId="19A7A0EB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6 pp. 132-139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6BF" w14:textId="26A658C0" w:rsidR="001F027D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HW13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1F027D" w14:paraId="56CB3AFC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3C6F" w14:textId="77777777" w:rsidR="001F027D" w:rsidRDefault="001F027D" w:rsidP="001F0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E34" w14:textId="77777777" w:rsidR="001F027D" w:rsidRDefault="001F027D" w:rsidP="001F0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F621" w14:textId="5DF109DA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Entanglement in general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03464" w14:textId="4ED51436" w:rsidR="001F027D" w:rsidRDefault="001F027D" w:rsidP="001F02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7 pp. 147-151, 155-162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973" w14:textId="2FB750DF" w:rsidR="001F027D" w:rsidRDefault="001F027D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6BA0" w14:paraId="1A634467" w14:textId="77777777" w:rsidTr="001F027D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B933" w14:textId="77777777" w:rsidR="00446BA0" w:rsidRDefault="00446BA0" w:rsidP="00446B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C9B1" w14:textId="77777777" w:rsidR="00446BA0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8849" w14:textId="0313DA5F" w:rsidR="00446BA0" w:rsidRDefault="00446BA0" w:rsidP="00446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Bell's theorem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0B18" w14:textId="5F754856" w:rsidR="00446BA0" w:rsidRDefault="00446BA0" w:rsidP="00446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 7 pp. 151-155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88DC" w14:textId="5489A92D" w:rsidR="00446BA0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HW14 </w:t>
            </w:r>
            <w:r>
              <w:rPr>
                <w:rFonts w:ascii="Wingdings" w:hAnsi="Wingdings" w:cs="Calibri"/>
                <w:color w:val="00CC00"/>
                <w:sz w:val="22"/>
                <w:szCs w:val="22"/>
              </w:rPr>
              <w:t></w:t>
            </w:r>
          </w:p>
        </w:tc>
      </w:tr>
      <w:tr w:rsidR="00446BA0" w14:paraId="0D95C22B" w14:textId="77777777" w:rsidTr="00446BA0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ED25" w14:textId="77777777" w:rsidR="00446BA0" w:rsidRDefault="00446BA0" w:rsidP="00446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A74" w14:textId="77777777" w:rsidR="00446BA0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3146" w14:textId="7B92BAAB" w:rsidR="00446BA0" w:rsidRDefault="00991D75" w:rsidP="00446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Introduction to Error Correction I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E422B" w14:textId="02198551" w:rsidR="00446BA0" w:rsidRDefault="00446BA0" w:rsidP="00446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Notes provided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D294A" w14:textId="069A31F7" w:rsidR="00446BA0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6BA0" w14:paraId="36104F00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ADA2" w14:textId="77777777" w:rsidR="00446BA0" w:rsidRDefault="00446BA0" w:rsidP="00446B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FAAA" w14:textId="77777777" w:rsidR="00446BA0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2B4B" w14:textId="2DCBB8A5" w:rsidR="00446BA0" w:rsidRDefault="00991D75" w:rsidP="00446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Introduction to Error Correction</w:t>
            </w:r>
            <w:r w:rsidR="00446B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A66D" w14:textId="77777777" w:rsidR="00446BA0" w:rsidRDefault="00446BA0" w:rsidP="00446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Notes provided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76B1" w14:textId="77777777" w:rsidR="00446BA0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6BA0" w14:paraId="4BD73C83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FA7" w14:textId="77777777" w:rsidR="00446BA0" w:rsidRDefault="00446BA0" w:rsidP="00446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C8A" w14:textId="77777777" w:rsidR="00446BA0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FED" w14:textId="77777777" w:rsidR="00446BA0" w:rsidRDefault="00446BA0" w:rsidP="00446BA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Review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D01D" w14:textId="77777777" w:rsidR="00446BA0" w:rsidRDefault="00446BA0" w:rsidP="00446BA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BA48" w14:textId="77777777" w:rsidR="00446BA0" w:rsidRDefault="00446BA0" w:rsidP="00446BA0">
            <w:pPr>
              <w:jc w:val="center"/>
              <w:rPr>
                <w:sz w:val="20"/>
                <w:szCs w:val="20"/>
              </w:rPr>
            </w:pPr>
          </w:p>
        </w:tc>
      </w:tr>
      <w:tr w:rsidR="00446BA0" w14:paraId="08B0E7E7" w14:textId="77777777" w:rsidTr="006168C5">
        <w:trPr>
          <w:trHeight w:val="28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95E0F" w14:textId="77777777" w:rsidR="00446BA0" w:rsidRDefault="00446BA0" w:rsidP="00446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A3195" w14:textId="77777777" w:rsidR="00446BA0" w:rsidRDefault="00446BA0" w:rsidP="00446B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CC33A" w14:textId="77777777" w:rsidR="00446BA0" w:rsidRDefault="00446BA0" w:rsidP="00446BA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A2DFD" w14:textId="77777777" w:rsidR="00446BA0" w:rsidRDefault="00446BA0" w:rsidP="00446BA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09EF" w14:textId="77777777" w:rsidR="00446BA0" w:rsidRDefault="00446BA0" w:rsidP="00446B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BD3FD8" w14:textId="77777777" w:rsidR="00E55C92" w:rsidRDefault="00E55C92" w:rsidP="00E55C92">
      <w:pPr>
        <w:pStyle w:val="ListParagraph"/>
        <w:numPr>
          <w:ilvl w:val="0"/>
          <w:numId w:val="2"/>
        </w:numPr>
      </w:pPr>
      <w:r>
        <w:t xml:space="preserve">Grading details:  </w:t>
      </w:r>
      <w:r w:rsidRPr="00E55C92">
        <w:t>The course will comprise weekly homework (25%), final exam (25%), two midterm exams (15% each), pre-class reading and checkpoint questions (10%), and class participation (10, 9, 7, 4, 0% for 0, 1, 2, 3, 4 absences), recorded in the course gradebook. The late homework policy is 20% reduction if submitted less than 2 weeks late and before the final course deadline, whichever is earlier. There are bonus points (maximum 3%) for checkpoint questions answered correctly in class. The (lower) grade boundaries will be A+ (97), A (94), A- (91), B+ (88), B (85), B- (82), C+ (78), C (74), C- (70), D+ (66), D (62), D- (58), F (54)</w:t>
      </w:r>
    </w:p>
    <w:p w14:paraId="4846FA6A" w14:textId="77777777" w:rsidR="00E55C92" w:rsidRDefault="00E55C92" w:rsidP="00E55C92">
      <w:pPr>
        <w:pStyle w:val="ListParagraph"/>
        <w:numPr>
          <w:ilvl w:val="0"/>
          <w:numId w:val="2"/>
        </w:numPr>
      </w:pPr>
      <w:r>
        <w:lastRenderedPageBreak/>
        <w:t>Disabilities access statement: please add a standard here—I don’t know where to find this</w:t>
      </w:r>
    </w:p>
    <w:sectPr w:rsidR="00E55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5B6"/>
    <w:multiLevelType w:val="hybridMultilevel"/>
    <w:tmpl w:val="3378D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4AE4"/>
    <w:multiLevelType w:val="hybridMultilevel"/>
    <w:tmpl w:val="A92A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0F30"/>
    <w:multiLevelType w:val="hybridMultilevel"/>
    <w:tmpl w:val="6722E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370063">
    <w:abstractNumId w:val="1"/>
  </w:num>
  <w:num w:numId="2" w16cid:durableId="1125079375">
    <w:abstractNumId w:val="2"/>
  </w:num>
  <w:num w:numId="3" w16cid:durableId="972174282">
    <w:abstractNumId w:val="1"/>
  </w:num>
  <w:num w:numId="4" w16cid:durableId="191589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2A"/>
    <w:rsid w:val="000A3046"/>
    <w:rsid w:val="001F027D"/>
    <w:rsid w:val="002F1006"/>
    <w:rsid w:val="002F203D"/>
    <w:rsid w:val="0037610A"/>
    <w:rsid w:val="00446BA0"/>
    <w:rsid w:val="004A142A"/>
    <w:rsid w:val="004F0CC0"/>
    <w:rsid w:val="006168C5"/>
    <w:rsid w:val="008A4D0A"/>
    <w:rsid w:val="00991D75"/>
    <w:rsid w:val="00A91009"/>
    <w:rsid w:val="00B51353"/>
    <w:rsid w:val="00BB4469"/>
    <w:rsid w:val="00DB2380"/>
    <w:rsid w:val="00E51994"/>
    <w:rsid w:val="00E55C92"/>
    <w:rsid w:val="00EB7EF7"/>
    <w:rsid w:val="00F23B06"/>
    <w:rsid w:val="00F3252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BAE6"/>
  <w15:chartTrackingRefBased/>
  <w15:docId w15:val="{9C51EF83-8ABD-4759-9917-54C73AA5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42A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Beck</dc:creator>
  <cp:keywords/>
  <dc:description/>
  <cp:lastModifiedBy>Beck, Douglas H</cp:lastModifiedBy>
  <cp:revision>3</cp:revision>
  <dcterms:created xsi:type="dcterms:W3CDTF">2024-11-14T14:36:00Z</dcterms:created>
  <dcterms:modified xsi:type="dcterms:W3CDTF">2024-11-14T14:37:00Z</dcterms:modified>
</cp:coreProperties>
</file>