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7A7A" w14:textId="1215E142" w:rsidR="00000000" w:rsidRPr="00E55C92" w:rsidRDefault="004A142A" w:rsidP="004A142A">
      <w:pPr>
        <w:jc w:val="center"/>
        <w:rPr>
          <w:rFonts w:asciiTheme="minorHAnsi" w:hAnsiTheme="minorHAnsi" w:cstheme="minorHAnsi"/>
        </w:rPr>
      </w:pPr>
      <w:r w:rsidRPr="00E55C92">
        <w:rPr>
          <w:rFonts w:asciiTheme="minorHAnsi" w:hAnsiTheme="minorHAnsi" w:cstheme="minorHAnsi"/>
        </w:rPr>
        <w:t>Physics 3</w:t>
      </w:r>
      <w:r w:rsidR="00446BA0">
        <w:rPr>
          <w:rFonts w:asciiTheme="minorHAnsi" w:hAnsiTheme="minorHAnsi" w:cstheme="minorHAnsi"/>
        </w:rPr>
        <w:t xml:space="preserve">70 </w:t>
      </w:r>
    </w:p>
    <w:p w14:paraId="11AA7630" w14:textId="77777777" w:rsidR="004A142A" w:rsidRDefault="004A142A" w:rsidP="004A142A">
      <w:pPr>
        <w:pStyle w:val="ListParagraph"/>
        <w:numPr>
          <w:ilvl w:val="0"/>
          <w:numId w:val="2"/>
        </w:numPr>
      </w:pPr>
      <w:r>
        <w:t>Title: Introduction to Quantum Information and Computing</w:t>
      </w:r>
    </w:p>
    <w:p w14:paraId="2570311D" w14:textId="77777777" w:rsidR="004A142A" w:rsidRDefault="004A142A" w:rsidP="004A142A">
      <w:pPr>
        <w:pStyle w:val="ListParagraph"/>
        <w:numPr>
          <w:ilvl w:val="0"/>
          <w:numId w:val="2"/>
        </w:numPr>
      </w:pPr>
      <w:r>
        <w:t>Short description:</w:t>
      </w:r>
    </w:p>
    <w:p w14:paraId="5C18FDE0" w14:textId="77777777" w:rsidR="004A142A" w:rsidRDefault="004A142A" w:rsidP="004A142A">
      <w:pPr>
        <w:pStyle w:val="ListParagraph"/>
        <w:ind w:left="360"/>
      </w:pPr>
      <w:r>
        <w:t xml:space="preserve">Introduction to quantum information and computing for sophomores and juniors from any major.  Self-contained description of quantum states and qubits, operators, measurements, </w:t>
      </w:r>
      <w:r w:rsidR="00EB7EF7">
        <w:t xml:space="preserve">tensor products, </w:t>
      </w:r>
      <w:r>
        <w:t>density matrices, entanglement, gates and circuits and algorithms.  Students will apply the basic components of quantum mechanics to program online quantum computers to gain insight into the Deutsch-Jozsa, Grover and Shor algorithms</w:t>
      </w:r>
      <w:r w:rsidR="000A3046">
        <w:t>, as well as teleportation, super-dense coding and entanglement swapping.</w:t>
      </w:r>
    </w:p>
    <w:p w14:paraId="651EA96F" w14:textId="77777777" w:rsidR="00FF5F7E" w:rsidRDefault="00FF5F7E" w:rsidP="000A3046">
      <w:pPr>
        <w:pStyle w:val="ListParagraph"/>
        <w:numPr>
          <w:ilvl w:val="0"/>
          <w:numId w:val="2"/>
        </w:numPr>
      </w:pPr>
      <w:r>
        <w:t>Credit hours: 3</w:t>
      </w:r>
    </w:p>
    <w:p w14:paraId="76EB98B1" w14:textId="77777777" w:rsidR="00FF5F7E" w:rsidRDefault="00FF5F7E" w:rsidP="000A3046">
      <w:pPr>
        <w:pStyle w:val="ListParagraph"/>
        <w:numPr>
          <w:ilvl w:val="0"/>
          <w:numId w:val="2"/>
        </w:numPr>
      </w:pPr>
      <w:r>
        <w:t>Prerequisites: Phys. 214</w:t>
      </w:r>
    </w:p>
    <w:p w14:paraId="474DA6C0" w14:textId="77777777" w:rsidR="00FF5F7E" w:rsidRDefault="00FF5F7E" w:rsidP="000A3046">
      <w:pPr>
        <w:pStyle w:val="ListParagraph"/>
        <w:numPr>
          <w:ilvl w:val="0"/>
          <w:numId w:val="2"/>
        </w:numPr>
      </w:pPr>
      <w:r>
        <w:t>Concurrent enrollment courses: none</w:t>
      </w:r>
    </w:p>
    <w:p w14:paraId="0902F5AF" w14:textId="77777777" w:rsidR="00FF5F7E" w:rsidRDefault="00FF5F7E" w:rsidP="000A3046">
      <w:pPr>
        <w:pStyle w:val="ListParagraph"/>
        <w:numPr>
          <w:ilvl w:val="0"/>
          <w:numId w:val="2"/>
        </w:numPr>
      </w:pPr>
      <w:r>
        <w:t xml:space="preserve">Text: David McMahon, </w:t>
      </w:r>
      <w:r>
        <w:rPr>
          <w:u w:val="single"/>
        </w:rPr>
        <w:t>Quantum Computing Explained</w:t>
      </w:r>
      <w:r>
        <w:t>, 1</w:t>
      </w:r>
      <w:r w:rsidRPr="00FF5F7E">
        <w:rPr>
          <w:vertAlign w:val="superscript"/>
        </w:rPr>
        <w:t>st</w:t>
      </w:r>
      <w:r>
        <w:t xml:space="preserve"> edition</w:t>
      </w:r>
    </w:p>
    <w:p w14:paraId="5197FD8F" w14:textId="77777777" w:rsidR="00EB7EF7" w:rsidRDefault="00EB7EF7" w:rsidP="000A3046">
      <w:pPr>
        <w:pStyle w:val="ListParagraph"/>
        <w:numPr>
          <w:ilvl w:val="0"/>
          <w:numId w:val="2"/>
        </w:numPr>
      </w:pPr>
      <w:r>
        <w:t>Learning objectives:</w:t>
      </w:r>
    </w:p>
    <w:p w14:paraId="4EE73FA0" w14:textId="77777777" w:rsidR="00EB7EF7" w:rsidRDefault="00EB7EF7" w:rsidP="00EB7EF7">
      <w:pPr>
        <w:pStyle w:val="ListParagraph"/>
        <w:numPr>
          <w:ilvl w:val="1"/>
          <w:numId w:val="2"/>
        </w:numPr>
      </w:pPr>
      <w:r>
        <w:t>Understand the basic differences between quantum information/computing and classical information/computing</w:t>
      </w:r>
    </w:p>
    <w:p w14:paraId="1880AD73" w14:textId="77777777" w:rsidR="00EB7EF7" w:rsidRDefault="00EB7EF7" w:rsidP="00EB7EF7">
      <w:pPr>
        <w:pStyle w:val="ListParagraph"/>
        <w:numPr>
          <w:ilvl w:val="1"/>
          <w:numId w:val="2"/>
        </w:numPr>
      </w:pPr>
      <w:r>
        <w:t xml:space="preserve">Become familiar with and be able to </w:t>
      </w:r>
      <w:r w:rsidR="00F32522">
        <w:t>use</w:t>
      </w:r>
      <w:r>
        <w:t xml:space="preserve"> quantum states/qubits, operators, measurements, tensor products, density matrices and entanglement</w:t>
      </w:r>
    </w:p>
    <w:p w14:paraId="1B8AE3D4" w14:textId="77777777" w:rsidR="00EB7EF7" w:rsidRDefault="00EB7EF7" w:rsidP="00EB7EF7">
      <w:pPr>
        <w:pStyle w:val="ListParagraph"/>
        <w:numPr>
          <w:ilvl w:val="1"/>
          <w:numId w:val="2"/>
        </w:numPr>
      </w:pPr>
      <w:r>
        <w:t>Become familiar with and be able to develop quantum algorithms and programs using quantum gates and circuits</w:t>
      </w:r>
    </w:p>
    <w:p w14:paraId="3A5307B2" w14:textId="77777777" w:rsidR="00F32522" w:rsidRDefault="00F32522" w:rsidP="00EB7EF7">
      <w:pPr>
        <w:pStyle w:val="ListParagraph"/>
        <w:numPr>
          <w:ilvl w:val="1"/>
          <w:numId w:val="2"/>
        </w:numPr>
      </w:pPr>
      <w:r>
        <w:t>Become familiar with and program “classic” quantum algorithms including teleportation, Deutsch-Jozsa, Shor, Grover, superdense coding and entanglement swapping</w:t>
      </w:r>
    </w:p>
    <w:p w14:paraId="1E5AFCAD" w14:textId="77777777" w:rsidR="00F32522" w:rsidRDefault="00F32522">
      <w:pPr>
        <w:rPr>
          <w:rFonts w:ascii="Calibri" w:hAnsi="Calibri" w:cs="Calibri"/>
        </w:rPr>
      </w:pPr>
      <w:r>
        <w:br w:type="page"/>
      </w:r>
    </w:p>
    <w:p w14:paraId="239C377D" w14:textId="77777777" w:rsidR="00F32522" w:rsidRDefault="00F32522" w:rsidP="00F32522">
      <w:pPr>
        <w:pStyle w:val="ListParagraph"/>
        <w:numPr>
          <w:ilvl w:val="0"/>
          <w:numId w:val="2"/>
        </w:numPr>
      </w:pPr>
      <w:r>
        <w:lastRenderedPageBreak/>
        <w:t>Weekly schedule</w:t>
      </w:r>
    </w:p>
    <w:tbl>
      <w:tblPr>
        <w:tblW w:w="11541" w:type="dxa"/>
        <w:tblLook w:val="04A0" w:firstRow="1" w:lastRow="0" w:firstColumn="1" w:lastColumn="0" w:noHBand="0" w:noVBand="1"/>
      </w:tblPr>
      <w:tblGrid>
        <w:gridCol w:w="731"/>
        <w:gridCol w:w="662"/>
        <w:gridCol w:w="4277"/>
        <w:gridCol w:w="2700"/>
        <w:gridCol w:w="90"/>
        <w:gridCol w:w="3081"/>
      </w:tblGrid>
      <w:tr w:rsidR="00F32522" w14:paraId="46900D41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8A8E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Week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42BF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9F6F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3D83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McMahon reading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C2C6" w14:textId="5DEBA3E3" w:rsidR="00F32522" w:rsidRDefault="00F32522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HW </w:t>
            </w:r>
            <w:r w:rsidR="001F027D">
              <w:rPr>
                <w:rFonts w:ascii="Calibri" w:hAnsi="Calibri" w:cs="Calibri"/>
                <w:color w:val="000000"/>
                <w:sz w:val="22"/>
                <w:szCs w:val="22"/>
              </w:rPr>
              <w:t>Sp202</w:t>
            </w:r>
            <w:r w:rsidR="003922F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32522" w14:paraId="77A32E48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62F6" w14:textId="77777777" w:rsidR="00F32522" w:rsidRDefault="00F325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43DE" w14:textId="77777777" w:rsidR="00F32522" w:rsidRDefault="00F325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86F3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 and qubits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CFF3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Ch. 2 pp 11-18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758B" w14:textId="271B1863" w:rsidR="00F32522" w:rsidRDefault="001F027D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HW1 </w:t>
            </w:r>
            <w:r>
              <w:rPr>
                <w:rFonts w:ascii="Wingdings" w:hAnsi="Wingdings" w:cs="Calibri"/>
                <w:color w:val="00CC00"/>
                <w:sz w:val="22"/>
                <w:szCs w:val="22"/>
              </w:rPr>
              <w:t></w:t>
            </w:r>
          </w:p>
        </w:tc>
      </w:tr>
      <w:tr w:rsidR="00F32522" w14:paraId="55C4057B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89B9" w14:textId="77777777" w:rsidR="00F32522" w:rsidRDefault="00F3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6AEE" w14:textId="77777777" w:rsidR="00F32522" w:rsidRDefault="00F325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F572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matrices and operators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C6BE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2. 28-31, Ch. 3 pp 39-45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46F0" w14:textId="2098F5D1" w:rsidR="00F32522" w:rsidRDefault="00F32522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2522" w14:paraId="0677AF98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248A" w14:textId="77777777" w:rsidR="00F32522" w:rsidRDefault="00F325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9F57" w14:textId="77777777" w:rsidR="00F32522" w:rsidRDefault="00F325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CB4F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Quantum gates and circuits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7576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8 pp. 176-180, 185-192</w:t>
            </w:r>
          </w:p>
        </w:tc>
        <w:tc>
          <w:tcPr>
            <w:tcW w:w="30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E897" w14:textId="3C44C191" w:rsidR="00F32522" w:rsidRDefault="001F027D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HW2 </w:t>
            </w:r>
            <w:r>
              <w:rPr>
                <w:rFonts w:ascii="Wingdings" w:hAnsi="Wingdings" w:cs="Calibri"/>
                <w:color w:val="00CC00"/>
                <w:sz w:val="22"/>
                <w:szCs w:val="22"/>
              </w:rPr>
              <w:t></w:t>
            </w:r>
          </w:p>
        </w:tc>
      </w:tr>
      <w:tr w:rsidR="00F32522" w14:paraId="53268085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1051" w14:textId="77777777" w:rsidR="00F32522" w:rsidRDefault="00F3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D2CF" w14:textId="77777777" w:rsidR="00F32522" w:rsidRDefault="00F325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31CE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cloning, teleportation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FD872C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13 pp. 279-280, 225-228</w:t>
            </w:r>
          </w:p>
        </w:tc>
        <w:tc>
          <w:tcPr>
            <w:tcW w:w="3171" w:type="dxa"/>
            <w:gridSpan w:val="2"/>
            <w:shd w:val="clear" w:color="auto" w:fill="auto"/>
            <w:noWrap/>
            <w:vAlign w:val="bottom"/>
            <w:hideMark/>
          </w:tcPr>
          <w:p w14:paraId="29378CEF" w14:textId="651CD9AB" w:rsidR="00F32522" w:rsidRDefault="00F32522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2522" w14:paraId="19AFA221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440A" w14:textId="77777777" w:rsidR="00F32522" w:rsidRDefault="00F325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DF52" w14:textId="77777777" w:rsidR="00F32522" w:rsidRDefault="00F325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FC4A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Basis sets, inner product, orthonormality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A93A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Ch. 2 pp 19-28</w:t>
            </w:r>
          </w:p>
        </w:tc>
        <w:tc>
          <w:tcPr>
            <w:tcW w:w="30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0A23" w14:textId="1ED750D6" w:rsidR="00F32522" w:rsidRDefault="001F027D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HW3 </w:t>
            </w:r>
            <w:r>
              <w:rPr>
                <w:rFonts w:ascii="Wingdings" w:hAnsi="Wingdings" w:cs="Calibri"/>
                <w:color w:val="00CC00"/>
                <w:sz w:val="22"/>
                <w:szCs w:val="22"/>
              </w:rPr>
              <w:t></w:t>
            </w:r>
          </w:p>
        </w:tc>
      </w:tr>
      <w:tr w:rsidR="00F32522" w14:paraId="0B59EA32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956C" w14:textId="77777777" w:rsidR="00F32522" w:rsidRDefault="00F325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0403" w14:textId="77777777" w:rsidR="00F32522" w:rsidRDefault="00F325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AE46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Hermitian operators, etc.,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eigenstuff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trace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9357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3 pp. 46-57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3743" w14:textId="77777777" w:rsidR="00F32522" w:rsidRDefault="00F32522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2522" w14:paraId="14BF8A72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4660" w14:textId="77777777" w:rsidR="00F32522" w:rsidRDefault="00F3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8BEB" w14:textId="77777777" w:rsidR="00F32522" w:rsidRDefault="00F325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954E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Hadamard through quantum interference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B07F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9. pp 197-203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C5D6" w14:textId="77777777" w:rsidR="00F32522" w:rsidRDefault="00F32522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HW4 </w:t>
            </w:r>
            <w:r>
              <w:rPr>
                <w:rFonts w:ascii="Wingdings" w:hAnsi="Wingdings" w:cs="Calibri"/>
                <w:color w:val="00CC00"/>
                <w:sz w:val="22"/>
                <w:szCs w:val="22"/>
              </w:rPr>
              <w:t></w:t>
            </w:r>
          </w:p>
        </w:tc>
      </w:tr>
      <w:tr w:rsidR="00F32522" w14:paraId="2F271F5F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F9E1" w14:textId="77777777" w:rsidR="00F32522" w:rsidRDefault="00F325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E4A3" w14:textId="77777777" w:rsidR="00F32522" w:rsidRDefault="00F325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0805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Deutsch(-Jozsa)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9A9B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9. pp 203-210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10A4" w14:textId="77777777" w:rsidR="00F32522" w:rsidRDefault="00F32522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HW5 </w:t>
            </w:r>
            <w:r>
              <w:rPr>
                <w:rFonts w:ascii="Wingdings" w:hAnsi="Wingdings" w:cs="Calibri"/>
                <w:color w:val="00CC00"/>
                <w:sz w:val="22"/>
                <w:szCs w:val="22"/>
              </w:rPr>
              <w:t></w:t>
            </w:r>
          </w:p>
        </w:tc>
      </w:tr>
      <w:tr w:rsidR="00F32522" w14:paraId="0B5CC620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5768" w14:textId="77777777" w:rsidR="00F32522" w:rsidRDefault="00F325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E6BC" w14:textId="77777777" w:rsidR="00F32522" w:rsidRDefault="00F325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6561" w14:textId="77777777" w:rsidR="00F32522" w:rsidRDefault="00F32522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Review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2516" w14:textId="77777777" w:rsidR="00F32522" w:rsidRDefault="00F32522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A30B" w14:textId="77777777" w:rsidR="00F32522" w:rsidRDefault="00F32522" w:rsidP="00446BA0">
            <w:pPr>
              <w:jc w:val="center"/>
              <w:rPr>
                <w:sz w:val="20"/>
                <w:szCs w:val="20"/>
              </w:rPr>
            </w:pPr>
          </w:p>
        </w:tc>
      </w:tr>
      <w:tr w:rsidR="00F32522" w14:paraId="555FD0CE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6709" w14:textId="77777777" w:rsidR="00F32522" w:rsidRDefault="00F325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7A98" w14:textId="77777777" w:rsidR="00F32522" w:rsidRDefault="00F325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E725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Midterm I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582F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EE39" w14:textId="77777777" w:rsidR="00F32522" w:rsidRDefault="00F32522" w:rsidP="00446BA0">
            <w:pPr>
              <w:jc w:val="center"/>
              <w:rPr>
                <w:sz w:val="20"/>
                <w:szCs w:val="20"/>
              </w:rPr>
            </w:pPr>
          </w:p>
        </w:tc>
      </w:tr>
      <w:tr w:rsidR="00F32522" w14:paraId="5A805F9E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4F58" w14:textId="77777777" w:rsidR="00F32522" w:rsidRDefault="00F3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BB02" w14:textId="77777777" w:rsidR="00F32522" w:rsidRDefault="00F325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25F9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Expectation values, unitary transformations, projection operators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B12D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Ch. 3 pp. 57-66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DE85" w14:textId="77777777" w:rsidR="00F32522" w:rsidRDefault="00F32522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HW6 </w:t>
            </w:r>
            <w:r>
              <w:rPr>
                <w:rFonts w:ascii="Wingdings" w:hAnsi="Wingdings" w:cs="Calibri"/>
                <w:color w:val="00CC00"/>
                <w:sz w:val="22"/>
                <w:szCs w:val="22"/>
              </w:rPr>
              <w:t></w:t>
            </w:r>
          </w:p>
        </w:tc>
      </w:tr>
      <w:tr w:rsidR="00F32522" w14:paraId="30ECAC30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1F4C" w14:textId="77777777" w:rsidR="00F32522" w:rsidRDefault="00F325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537E" w14:textId="77777777" w:rsidR="00F32522" w:rsidRDefault="00F325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DB0C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Fundamentals of QM: commutators, HUP, SE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1FC5" w14:textId="77777777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3 pp. 66-71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9C30" w14:textId="77777777" w:rsidR="00F32522" w:rsidRDefault="00F32522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2522" w14:paraId="2A2F83C1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839C" w14:textId="77777777" w:rsidR="00F32522" w:rsidRDefault="00F3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A6CD" w14:textId="77777777" w:rsidR="00F32522" w:rsidRDefault="00F325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E9FB" w14:textId="0AEFDE31" w:rsidR="00F32522" w:rsidRDefault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F32522">
              <w:rPr>
                <w:rFonts w:ascii="Calibri" w:hAnsi="Calibri" w:cs="Calibri"/>
                <w:color w:val="000000"/>
                <w:sz w:val="22"/>
                <w:szCs w:val="22"/>
              </w:rPr>
              <w:t>ensor products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states and operators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150E" w14:textId="12EE3D8D" w:rsidR="00F32522" w:rsidRDefault="00F325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4 pp. 73-</w:t>
            </w:r>
            <w:r w:rsidR="001F027D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8FE1" w14:textId="77777777" w:rsidR="00F32522" w:rsidRDefault="00F32522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HW7 </w:t>
            </w:r>
            <w:r>
              <w:rPr>
                <w:rFonts w:ascii="Wingdings" w:hAnsi="Wingdings" w:cs="Calibri"/>
                <w:color w:val="00CC00"/>
                <w:sz w:val="22"/>
                <w:szCs w:val="22"/>
              </w:rPr>
              <w:t></w:t>
            </w:r>
          </w:p>
        </w:tc>
      </w:tr>
      <w:tr w:rsidR="001F027D" w14:paraId="73C79967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54DB" w14:textId="77777777" w:rsidR="001F027D" w:rsidRDefault="001F027D" w:rsidP="001F02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5C48" w14:textId="77777777" w:rsidR="001F027D" w:rsidRDefault="001F027D" w:rsidP="001F0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0069" w14:textId="4EC93E45" w:rsidR="001F027D" w:rsidRDefault="001F027D" w:rsidP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QFT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9636" w14:textId="7781617C" w:rsidR="001F027D" w:rsidRDefault="001F027D" w:rsidP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9 pp. 211-216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55D5" w14:textId="77777777" w:rsidR="001F027D" w:rsidRDefault="001F027D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027D" w14:paraId="7C3F208A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FA21" w14:textId="77777777" w:rsidR="001F027D" w:rsidRDefault="001F027D" w:rsidP="001F0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AB9E" w14:textId="77777777" w:rsidR="001F027D" w:rsidRDefault="001F027D" w:rsidP="001F0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087E3" w14:textId="1966AC1E" w:rsidR="001F027D" w:rsidRDefault="001F027D" w:rsidP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Shor/QPE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A1836" w14:textId="3985D818" w:rsidR="001F027D" w:rsidRDefault="001F027D" w:rsidP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9 pp. 216-218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9621" w14:textId="77777777" w:rsidR="001F027D" w:rsidRDefault="001F027D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HW8 </w:t>
            </w:r>
            <w:r>
              <w:rPr>
                <w:rFonts w:ascii="Wingdings" w:hAnsi="Wingdings" w:cs="Calibri"/>
                <w:color w:val="00CC00"/>
                <w:sz w:val="22"/>
                <w:szCs w:val="22"/>
              </w:rPr>
              <w:t></w:t>
            </w:r>
          </w:p>
        </w:tc>
      </w:tr>
      <w:tr w:rsidR="001F027D" w14:paraId="7EA593FD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42F3" w14:textId="77777777" w:rsidR="001F027D" w:rsidRDefault="001F027D" w:rsidP="001F02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1EA5" w14:textId="77777777" w:rsidR="001F027D" w:rsidRDefault="001F027D" w:rsidP="001F0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58CE3" w14:textId="12E5C694" w:rsidR="001F027D" w:rsidRDefault="001F027D" w:rsidP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Density operator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ABE80" w14:textId="5EBFE8E8" w:rsidR="001F027D" w:rsidRDefault="001F027D" w:rsidP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5 pp. 85-92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0CC5" w14:textId="77777777" w:rsidR="001F027D" w:rsidRDefault="001F027D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027D" w14:paraId="0AAC0429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5A7B" w14:textId="77777777" w:rsidR="001F027D" w:rsidRDefault="001F027D" w:rsidP="001F0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E70A" w14:textId="77777777" w:rsidR="001F027D" w:rsidRDefault="001F027D" w:rsidP="001F0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E59FA" w14:textId="13FFE0C7" w:rsidR="001F027D" w:rsidRDefault="001F027D" w:rsidP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 properties of the density operator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EA282" w14:textId="03570478" w:rsidR="001F027D" w:rsidRDefault="001F027D" w:rsidP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5 pp. 92-99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5B7F" w14:textId="77777777" w:rsidR="001F027D" w:rsidRDefault="001F027D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HW9 </w:t>
            </w:r>
            <w:r>
              <w:rPr>
                <w:rFonts w:ascii="Wingdings" w:hAnsi="Wingdings" w:cs="Calibri"/>
                <w:color w:val="00CC00"/>
                <w:sz w:val="22"/>
                <w:szCs w:val="22"/>
              </w:rPr>
              <w:t></w:t>
            </w:r>
          </w:p>
        </w:tc>
      </w:tr>
      <w:tr w:rsidR="001F027D" w14:paraId="690AEF34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5764" w14:textId="77777777" w:rsidR="001F027D" w:rsidRDefault="001F027D" w:rsidP="001F02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372D" w14:textId="77777777" w:rsidR="001F027D" w:rsidRDefault="001F027D" w:rsidP="001F0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A7465" w14:textId="2B620BDB" w:rsidR="001F027D" w:rsidRDefault="001F027D" w:rsidP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Characterizing mixed states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FF43" w14:textId="6B6D99D6" w:rsidR="001F027D" w:rsidRDefault="001F027D" w:rsidP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5 pp. 99-111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8C81" w14:textId="77777777" w:rsidR="001F027D" w:rsidRDefault="001F027D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HW10 </w:t>
            </w:r>
            <w:r>
              <w:rPr>
                <w:rFonts w:ascii="Wingdings" w:hAnsi="Wingdings" w:cs="Calibri"/>
                <w:color w:val="00CC00"/>
                <w:sz w:val="22"/>
                <w:szCs w:val="22"/>
              </w:rPr>
              <w:t></w:t>
            </w:r>
          </w:p>
        </w:tc>
      </w:tr>
      <w:tr w:rsidR="001F027D" w14:paraId="735DDB23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7C86" w14:textId="77777777" w:rsidR="001F027D" w:rsidRDefault="001F027D" w:rsidP="001F0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0A54" w14:textId="77777777" w:rsidR="001F027D" w:rsidRDefault="001F027D" w:rsidP="001F0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16B4" w14:textId="77777777" w:rsidR="001F027D" w:rsidRDefault="001F027D" w:rsidP="001F027D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Review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B73A" w14:textId="77777777" w:rsidR="001F027D" w:rsidRDefault="001F027D" w:rsidP="001F027D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22FB" w14:textId="77777777" w:rsidR="001F027D" w:rsidRDefault="001F027D" w:rsidP="00446BA0">
            <w:pPr>
              <w:jc w:val="center"/>
              <w:rPr>
                <w:sz w:val="20"/>
                <w:szCs w:val="20"/>
              </w:rPr>
            </w:pPr>
          </w:p>
        </w:tc>
      </w:tr>
      <w:tr w:rsidR="001F027D" w14:paraId="7BCDCE40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B364" w14:textId="77777777" w:rsidR="001F027D" w:rsidRDefault="001F027D" w:rsidP="001F02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EFE6" w14:textId="77777777" w:rsidR="001F027D" w:rsidRDefault="001F027D" w:rsidP="001F0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2C0A" w14:textId="77777777" w:rsidR="001F027D" w:rsidRDefault="001F027D" w:rsidP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Midterm II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3B2C" w14:textId="77777777" w:rsidR="001F027D" w:rsidRDefault="001F027D" w:rsidP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E206" w14:textId="77777777" w:rsidR="001F027D" w:rsidRDefault="001F027D" w:rsidP="00446BA0">
            <w:pPr>
              <w:jc w:val="center"/>
              <w:rPr>
                <w:sz w:val="20"/>
                <w:szCs w:val="20"/>
              </w:rPr>
            </w:pPr>
          </w:p>
        </w:tc>
      </w:tr>
      <w:tr w:rsidR="001F027D" w14:paraId="4F9441B9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77CB" w14:textId="77777777" w:rsidR="001F027D" w:rsidRDefault="001F027D" w:rsidP="001F0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7B0B" w14:textId="77777777" w:rsidR="001F027D" w:rsidRDefault="001F027D" w:rsidP="001F0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B15BB" w14:textId="0DDEA499" w:rsidR="001F027D" w:rsidRDefault="001F027D" w:rsidP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Partial trace, Bloch vector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A4BE" w14:textId="315D4817" w:rsidR="001F027D" w:rsidRDefault="001F027D" w:rsidP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5 pp. 111-117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BF9A" w14:textId="77777777" w:rsidR="001F027D" w:rsidRDefault="001F027D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HW11 </w:t>
            </w:r>
            <w:r>
              <w:rPr>
                <w:rFonts w:ascii="Wingdings" w:hAnsi="Wingdings" w:cs="Calibri"/>
                <w:color w:val="00CC00"/>
                <w:sz w:val="22"/>
                <w:szCs w:val="22"/>
              </w:rPr>
              <w:t></w:t>
            </w:r>
          </w:p>
        </w:tc>
      </w:tr>
      <w:tr w:rsidR="001F027D" w14:paraId="625AC6B8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3AB1" w14:textId="77777777" w:rsidR="001F027D" w:rsidRDefault="001F027D" w:rsidP="001F02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3BAA" w14:textId="77777777" w:rsidR="001F027D" w:rsidRDefault="001F027D" w:rsidP="001F0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FDEC5" w14:textId="39AF2F6C" w:rsidR="001F027D" w:rsidRDefault="001F027D" w:rsidP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Grover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208B3" w14:textId="7DFA791C" w:rsidR="001F027D" w:rsidRDefault="001F027D" w:rsidP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9 pp. 218-221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B2C4" w14:textId="31C36EBC" w:rsidR="001F027D" w:rsidRDefault="00446BA0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HW12 </w:t>
            </w:r>
            <w:r>
              <w:rPr>
                <w:rFonts w:ascii="Wingdings" w:hAnsi="Wingdings" w:cs="Calibri"/>
                <w:color w:val="00CC00"/>
                <w:sz w:val="22"/>
                <w:szCs w:val="22"/>
              </w:rPr>
              <w:t></w:t>
            </w:r>
          </w:p>
        </w:tc>
      </w:tr>
      <w:tr w:rsidR="001F027D" w14:paraId="77CC3DB7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5F8D" w14:textId="77777777" w:rsidR="001F027D" w:rsidRDefault="001F027D" w:rsidP="001F0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94D6" w14:textId="77777777" w:rsidR="001F027D" w:rsidRDefault="001F027D" w:rsidP="001F0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6D62C" w14:textId="10BB19FB" w:rsidR="001F027D" w:rsidRDefault="001F027D" w:rsidP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Measurements, projective measurements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3165A" w14:textId="0D0526A1" w:rsidR="001F027D" w:rsidRDefault="001F027D" w:rsidP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6 pp. 121-132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2F4B" w14:textId="121E5C31" w:rsidR="001F027D" w:rsidRDefault="001F027D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027D" w14:paraId="20EBFD11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7DC7" w14:textId="77777777" w:rsidR="001F027D" w:rsidRDefault="001F027D" w:rsidP="001F02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3580" w14:textId="77777777" w:rsidR="001F027D" w:rsidRDefault="001F027D" w:rsidP="001F0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7533B" w14:textId="74E05A31" w:rsidR="001F027D" w:rsidRDefault="001F027D" w:rsidP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Measurements on composite systems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0CF35" w14:textId="19A7A0EB" w:rsidR="001F027D" w:rsidRDefault="001F027D" w:rsidP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6 pp. 132-139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F6BF" w14:textId="26A658C0" w:rsidR="001F027D" w:rsidRDefault="00446BA0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HW13 </w:t>
            </w:r>
            <w:r>
              <w:rPr>
                <w:rFonts w:ascii="Wingdings" w:hAnsi="Wingdings" w:cs="Calibri"/>
                <w:color w:val="00CC00"/>
                <w:sz w:val="22"/>
                <w:szCs w:val="22"/>
              </w:rPr>
              <w:t></w:t>
            </w:r>
          </w:p>
        </w:tc>
      </w:tr>
      <w:tr w:rsidR="001F027D" w14:paraId="56CB3AFC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3C6F" w14:textId="77777777" w:rsidR="001F027D" w:rsidRDefault="001F027D" w:rsidP="001F0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3E34" w14:textId="77777777" w:rsidR="001F027D" w:rsidRDefault="001F027D" w:rsidP="001F02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5F621" w14:textId="5DF109DA" w:rsidR="001F027D" w:rsidRDefault="001F027D" w:rsidP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Entanglement in general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03464" w14:textId="4ED51436" w:rsidR="001F027D" w:rsidRDefault="001F027D" w:rsidP="001F02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7 pp. 147-151, 155-162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C973" w14:textId="2FB750DF" w:rsidR="001F027D" w:rsidRDefault="001F027D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6BA0" w14:paraId="1A634467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B933" w14:textId="77777777" w:rsidR="00446BA0" w:rsidRDefault="00446BA0" w:rsidP="00446B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C9B1" w14:textId="77777777" w:rsidR="00446BA0" w:rsidRDefault="00446BA0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18849" w14:textId="0313DA5F" w:rsidR="00446BA0" w:rsidRDefault="00446BA0" w:rsidP="00446B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Bell's theorem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60B18" w14:textId="5F754856" w:rsidR="00446BA0" w:rsidRDefault="00446BA0" w:rsidP="00446B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7 pp. 151-155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88DC" w14:textId="5489A92D" w:rsidR="00446BA0" w:rsidRDefault="00446BA0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HW14 </w:t>
            </w:r>
            <w:r>
              <w:rPr>
                <w:rFonts w:ascii="Wingdings" w:hAnsi="Wingdings" w:cs="Calibri"/>
                <w:color w:val="00CC00"/>
                <w:sz w:val="22"/>
                <w:szCs w:val="22"/>
              </w:rPr>
              <w:t></w:t>
            </w:r>
          </w:p>
        </w:tc>
      </w:tr>
      <w:tr w:rsidR="00446BA0" w14:paraId="0D95C22B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ED25" w14:textId="77777777" w:rsidR="00446BA0" w:rsidRDefault="00446BA0" w:rsidP="00446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9A74" w14:textId="77777777" w:rsidR="00446BA0" w:rsidRDefault="00446BA0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3146" w14:textId="58597B71" w:rsidR="00446BA0" w:rsidRDefault="00446BA0" w:rsidP="00446B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Quantum Approximate Optimization Algorithm I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E422B" w14:textId="02198551" w:rsidR="00446BA0" w:rsidRDefault="00446BA0" w:rsidP="00446B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Notes provided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D294A" w14:textId="069A31F7" w:rsidR="00446BA0" w:rsidRDefault="00446BA0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6BA0" w14:paraId="36104F00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ADA2" w14:textId="77777777" w:rsidR="00446BA0" w:rsidRDefault="00446BA0" w:rsidP="00446B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FAAA" w14:textId="77777777" w:rsidR="00446BA0" w:rsidRDefault="00446BA0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2B4B" w14:textId="769A2011" w:rsidR="00446BA0" w:rsidRDefault="00446BA0" w:rsidP="00446B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Quantum Approximate Optimization Algorithm II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A66D" w14:textId="77777777" w:rsidR="00446BA0" w:rsidRDefault="00446BA0" w:rsidP="00446B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Notes provided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76B1" w14:textId="77777777" w:rsidR="00446BA0" w:rsidRDefault="00446BA0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6BA0" w14:paraId="4BD73C83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7FA7" w14:textId="77777777" w:rsidR="00446BA0" w:rsidRDefault="00446BA0" w:rsidP="00446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FC8A" w14:textId="77777777" w:rsidR="00446BA0" w:rsidRDefault="00446BA0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0FED" w14:textId="77777777" w:rsidR="00446BA0" w:rsidRDefault="00446BA0" w:rsidP="00446BA0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Review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D01D" w14:textId="77777777" w:rsidR="00446BA0" w:rsidRDefault="00446BA0" w:rsidP="00446BA0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BA48" w14:textId="77777777" w:rsidR="00446BA0" w:rsidRDefault="00446BA0" w:rsidP="00446BA0">
            <w:pPr>
              <w:jc w:val="center"/>
              <w:rPr>
                <w:sz w:val="20"/>
                <w:szCs w:val="20"/>
              </w:rPr>
            </w:pPr>
          </w:p>
        </w:tc>
      </w:tr>
      <w:tr w:rsidR="00446BA0" w14:paraId="08B0E7E7" w14:textId="77777777" w:rsidTr="003922F0">
        <w:trPr>
          <w:trHeight w:val="28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95E0F" w14:textId="77777777" w:rsidR="00446BA0" w:rsidRDefault="00446BA0" w:rsidP="00446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A3195" w14:textId="77777777" w:rsidR="00446BA0" w:rsidRDefault="00446BA0" w:rsidP="00446B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CC33A" w14:textId="77777777" w:rsidR="00446BA0" w:rsidRDefault="00446BA0" w:rsidP="00446BA0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A2DFD" w14:textId="77777777" w:rsidR="00446BA0" w:rsidRDefault="00446BA0" w:rsidP="00446BA0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309EF" w14:textId="77777777" w:rsidR="00446BA0" w:rsidRDefault="00446BA0" w:rsidP="00446BA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846FA6A" w14:textId="2D24BEB0" w:rsidR="00E55C92" w:rsidRDefault="00E55C92" w:rsidP="003922F0">
      <w:pPr>
        <w:pStyle w:val="ListParagraph"/>
        <w:numPr>
          <w:ilvl w:val="0"/>
          <w:numId w:val="2"/>
        </w:numPr>
      </w:pPr>
      <w:r>
        <w:t xml:space="preserve">Grading details:  </w:t>
      </w:r>
      <w:r w:rsidRPr="00E55C92">
        <w:t>The course will comprise weekly homework (25%), final exam (25%), two midterm exams (15% each), pre-class reading and checkpoint questions (10%), and class participation (10, 9, 7, 4, 0% for 0, 1, 2, 3, 4 absences), recorded in the course gradebook. The late homework policy is 20% reduction if submitted less than 2 weeks late and before the final course deadline, whichever is earlier. There are bonus points (maximum 3%) for checkpoint questions answered correctly in class. The (lower) grade boundaries will be A+ (97), A (94), A- (91), B+ (88), B (85), B- (82), C+ (78), C (74), C- (70), D+ (66), D (62), D- (58), F (54)</w:t>
      </w:r>
    </w:p>
    <w:sectPr w:rsidR="00E55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5B6"/>
    <w:multiLevelType w:val="hybridMultilevel"/>
    <w:tmpl w:val="3378D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D44AE4"/>
    <w:multiLevelType w:val="hybridMultilevel"/>
    <w:tmpl w:val="A92A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80F30"/>
    <w:multiLevelType w:val="hybridMultilevel"/>
    <w:tmpl w:val="6722E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8370063">
    <w:abstractNumId w:val="1"/>
  </w:num>
  <w:num w:numId="2" w16cid:durableId="1125079375">
    <w:abstractNumId w:val="2"/>
  </w:num>
  <w:num w:numId="3" w16cid:durableId="972174282">
    <w:abstractNumId w:val="1"/>
  </w:num>
  <w:num w:numId="4" w16cid:durableId="191589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2A"/>
    <w:rsid w:val="000A3046"/>
    <w:rsid w:val="001F027D"/>
    <w:rsid w:val="002F1006"/>
    <w:rsid w:val="002F203D"/>
    <w:rsid w:val="0037610A"/>
    <w:rsid w:val="003922F0"/>
    <w:rsid w:val="00446BA0"/>
    <w:rsid w:val="004A142A"/>
    <w:rsid w:val="006168C5"/>
    <w:rsid w:val="008A2ECF"/>
    <w:rsid w:val="008A4D0A"/>
    <w:rsid w:val="00B51353"/>
    <w:rsid w:val="00BB4469"/>
    <w:rsid w:val="00DB2380"/>
    <w:rsid w:val="00E51994"/>
    <w:rsid w:val="00E55C92"/>
    <w:rsid w:val="00EB7EF7"/>
    <w:rsid w:val="00F23B06"/>
    <w:rsid w:val="00F32522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BAE6"/>
  <w15:chartTrackingRefBased/>
  <w15:docId w15:val="{9C51EF83-8ABD-4759-9917-54C73AA5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42A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Beck</dc:creator>
  <cp:keywords/>
  <dc:description/>
  <cp:lastModifiedBy>Beck, Douglas H</cp:lastModifiedBy>
  <cp:revision>3</cp:revision>
  <dcterms:created xsi:type="dcterms:W3CDTF">2024-01-07T22:58:00Z</dcterms:created>
  <dcterms:modified xsi:type="dcterms:W3CDTF">2024-01-07T23:05:00Z</dcterms:modified>
</cp:coreProperties>
</file>