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57" w:lineRule="exact" w:before="0"/>
        <w:ind w:left="648" w:right="615" w:firstLine="0"/>
        <w:jc w:val="center"/>
        <w:rPr>
          <w:sz w:val="40"/>
        </w:rPr>
      </w:pPr>
      <w:r>
        <w:rPr>
          <w:sz w:val="40"/>
        </w:rPr>
        <w:t>CPLC/CBQB Graduate Student &amp; Postdoc Symposium</w:t>
      </w:r>
    </w:p>
    <w:p>
      <w:pPr>
        <w:spacing w:line="383" w:lineRule="exact" w:before="0"/>
        <w:ind w:left="644" w:right="615" w:firstLine="0"/>
        <w:jc w:val="center"/>
        <w:rPr>
          <w:sz w:val="32"/>
        </w:rPr>
      </w:pPr>
      <w:r>
        <w:rPr>
          <w:color w:val="221F20"/>
          <w:sz w:val="32"/>
        </w:rPr>
        <w:t>Tuesday, November 6, 2018 – Beckman Institute Room 5602</w:t>
      </w:r>
    </w:p>
    <w:p>
      <w:pPr>
        <w:pStyle w:val="BodyText"/>
        <w:spacing w:line="307" w:lineRule="exact"/>
        <w:ind w:left="645" w:right="615"/>
        <w:jc w:val="center"/>
      </w:pPr>
      <w:r>
        <w:rPr>
          <w:color w:val="221F20"/>
        </w:rPr>
        <w:t>Organizers: Angela Barragan, Andres Arango and Yongjae Lee</w:t>
      </w:r>
    </w:p>
    <w:p>
      <w:pPr>
        <w:pStyle w:val="BodyText"/>
        <w:ind w:left="0"/>
      </w:pPr>
    </w:p>
    <w:p>
      <w:pPr>
        <w:pStyle w:val="BodyText"/>
        <w:spacing w:before="177"/>
      </w:pPr>
      <w:r>
        <w:rPr>
          <w:color w:val="221F20"/>
        </w:rPr>
        <w:t>8:20 a.m. Breakfast and Registration</w:t>
      </w:r>
    </w:p>
    <w:p>
      <w:pPr>
        <w:pStyle w:val="BodyText"/>
        <w:spacing w:before="6"/>
      </w:pPr>
      <w:r>
        <w:rPr>
          <w:color w:val="221F20"/>
        </w:rPr>
        <w:t>- - - - - - - - - - - - - - - - - - - - - - - - - - - - - - - - - - - - - - - - - - - - - - - - - - - - - - - - - - - - - - - - - - - - - - - - - - - - -</w:t>
      </w:r>
    </w:p>
    <w:p>
      <w:pPr>
        <w:tabs>
          <w:tab w:pos="1271" w:val="left" w:leader="none"/>
        </w:tabs>
        <w:spacing w:before="7"/>
        <w:ind w:left="100" w:right="0" w:firstLine="0"/>
        <w:jc w:val="left"/>
        <w:rPr>
          <w:b/>
          <w:sz w:val="24"/>
        </w:rPr>
      </w:pPr>
      <w:r>
        <w:rPr>
          <w:color w:val="221F20"/>
          <w:sz w:val="24"/>
        </w:rPr>
        <w:t>8:45 a.m.</w:t>
        <w:tab/>
      </w:r>
      <w:r>
        <w:rPr>
          <w:b/>
          <w:sz w:val="24"/>
        </w:rPr>
        <w:t>Mayank Boob (Martin Gruebele Group)</w:t>
      </w:r>
    </w:p>
    <w:p>
      <w:pPr>
        <w:tabs>
          <w:tab w:pos="1271" w:val="left" w:leader="none"/>
        </w:tabs>
        <w:spacing w:line="244" w:lineRule="auto" w:before="6"/>
        <w:ind w:left="100" w:right="1119" w:firstLine="0"/>
        <w:jc w:val="left"/>
        <w:rPr>
          <w:b/>
          <w:sz w:val="24"/>
        </w:rPr>
      </w:pPr>
      <w:r>
        <w:rPr>
          <w:sz w:val="24"/>
        </w:rPr>
        <w:t>Critical Phenomena in the temperature-pressure-crowding phase diagram of a large protein </w:t>
      </w:r>
      <w:r>
        <w:rPr>
          <w:color w:val="221F20"/>
          <w:sz w:val="24"/>
        </w:rPr>
        <w:t>9:00 a.m.</w:t>
        <w:tab/>
      </w:r>
      <w:r>
        <w:rPr>
          <w:b/>
          <w:sz w:val="24"/>
        </w:rPr>
        <w:t>Shashank Pant (Emad Tajkhorshid Group)</w:t>
      </w:r>
    </w:p>
    <w:p>
      <w:pPr>
        <w:pStyle w:val="BodyText"/>
        <w:spacing w:line="244" w:lineRule="auto"/>
        <w:ind w:left="1270" w:right="465" w:hanging="1170"/>
      </w:pPr>
      <w:r>
        <w:rPr/>
        <w:t>Microscopic Characterization of Membrane Binding and Lipid-Protein Interactions in PH Domain Using Advanced Simulations Techniques</w:t>
      </w:r>
    </w:p>
    <w:p>
      <w:pPr>
        <w:tabs>
          <w:tab w:pos="1271" w:val="left" w:leader="none"/>
        </w:tabs>
        <w:spacing w:line="323" w:lineRule="exact" w:before="0"/>
        <w:ind w:left="100" w:right="0" w:firstLine="0"/>
        <w:jc w:val="left"/>
        <w:rPr>
          <w:b/>
          <w:sz w:val="24"/>
        </w:rPr>
      </w:pPr>
      <w:r>
        <w:rPr>
          <w:color w:val="221F20"/>
          <w:sz w:val="24"/>
        </w:rPr>
        <w:t>9:15 a.m.</w:t>
        <w:tab/>
      </w:r>
      <w:r>
        <w:rPr>
          <w:b/>
          <w:color w:val="221F20"/>
          <w:sz w:val="24"/>
        </w:rPr>
        <w:t>Ikenna Okafor (Taekjip Ha Group)</w:t>
      </w:r>
    </w:p>
    <w:p>
      <w:pPr>
        <w:pStyle w:val="BodyText"/>
        <w:spacing w:line="244" w:lineRule="auto" w:before="5"/>
        <w:ind w:left="1360" w:right="112" w:hanging="1260"/>
      </w:pPr>
      <w:r>
        <w:rPr/>
        <w:t>Insights into the mechanism of expansion of genome engineering landscape by engineered Cas9s and non-canonical gRNAs</w:t>
      </w:r>
    </w:p>
    <w:p>
      <w:pPr>
        <w:pStyle w:val="Heading1"/>
        <w:tabs>
          <w:tab w:pos="1271" w:val="left" w:leader="none"/>
        </w:tabs>
      </w:pPr>
      <w:r>
        <w:rPr>
          <w:b w:val="0"/>
          <w:color w:val="221F20"/>
        </w:rPr>
        <w:t>9:30 a.m.</w:t>
        <w:tab/>
      </w:r>
      <w:r>
        <w:rPr>
          <w:color w:val="221F20"/>
        </w:rPr>
        <w:t>Veronika Dubinkina (Sergei Maslov Group)</w:t>
      </w:r>
    </w:p>
    <w:p>
      <w:pPr>
        <w:pStyle w:val="BodyText"/>
        <w:spacing w:before="7"/>
      </w:pPr>
      <w:r>
        <w:rPr/>
        <w:t>What’s love got to do with it? Stable marriage in microbial ecosystems</w:t>
      </w:r>
    </w:p>
    <w:p>
      <w:pPr>
        <w:pStyle w:val="BodyText"/>
        <w:spacing w:before="12"/>
        <w:ind w:left="0"/>
      </w:pPr>
    </w:p>
    <w:p>
      <w:pPr>
        <w:pStyle w:val="BodyText"/>
        <w:tabs>
          <w:tab w:pos="1271" w:val="left" w:leader="none"/>
        </w:tabs>
      </w:pPr>
      <w:r>
        <w:rPr/>
        <w:t>9:45 a.m.</w:t>
        <w:tab/>
        <w:t>Coffee Break</w:t>
      </w:r>
    </w:p>
    <w:p>
      <w:pPr>
        <w:pStyle w:val="BodyText"/>
        <w:spacing w:before="6"/>
      </w:pPr>
      <w:r>
        <w:rPr>
          <w:color w:val="221F20"/>
        </w:rPr>
        <w:t>- - - - - - - - - - - - - - - - - - - - - - - - - - - - - - - - - - - - - - - - - - - - - - - - - - - - - - - - - - - - - - - - - - - - - - - - - - - - -</w:t>
      </w:r>
    </w:p>
    <w:p>
      <w:pPr>
        <w:spacing w:before="6"/>
        <w:ind w:left="100" w:right="0" w:firstLine="0"/>
        <w:jc w:val="left"/>
        <w:rPr>
          <w:b/>
          <w:sz w:val="24"/>
        </w:rPr>
      </w:pPr>
      <w:r>
        <w:rPr>
          <w:color w:val="221F20"/>
          <w:sz w:val="24"/>
        </w:rPr>
        <w:t>10:00 a.m. </w:t>
      </w:r>
      <w:r>
        <w:rPr>
          <w:b/>
          <w:sz w:val="24"/>
        </w:rPr>
        <w:t>Derek Ping (Seppe Kuehn Group)</w:t>
      </w:r>
    </w:p>
    <w:p>
      <w:pPr>
        <w:spacing w:line="244" w:lineRule="auto" w:before="7"/>
        <w:ind w:left="100" w:right="945" w:firstLine="0"/>
        <w:jc w:val="left"/>
        <w:rPr>
          <w:b/>
          <w:sz w:val="24"/>
        </w:rPr>
      </w:pPr>
      <w:r>
        <w:rPr>
          <w:sz w:val="24"/>
        </w:rPr>
        <w:t>Hitchhiking, collapse, and contingency in phage infections of migrating bacterial populations </w:t>
      </w:r>
      <w:r>
        <w:rPr>
          <w:color w:val="221F20"/>
          <w:sz w:val="24"/>
        </w:rPr>
        <w:t>10:15 a.m. </w:t>
      </w:r>
      <w:r>
        <w:rPr>
          <w:b/>
          <w:color w:val="221F20"/>
          <w:sz w:val="24"/>
        </w:rPr>
        <w:t>Yiyang Lu (Roy D. Dar Group)</w:t>
      </w:r>
    </w:p>
    <w:p>
      <w:pPr>
        <w:pStyle w:val="BodyText"/>
        <w:spacing w:line="244" w:lineRule="auto"/>
        <w:ind w:left="1270" w:right="1050" w:hanging="1170"/>
      </w:pPr>
      <w:r>
        <w:rPr>
          <w:color w:val="221F20"/>
        </w:rPr>
        <w:t>Time-lapse single-cell drug screening for noise in gene expression yields suppressors of HIV reactivation</w:t>
      </w:r>
    </w:p>
    <w:p>
      <w:pPr>
        <w:spacing w:line="323" w:lineRule="exact" w:before="0"/>
        <w:ind w:left="100" w:right="0" w:firstLine="0"/>
        <w:jc w:val="left"/>
        <w:rPr>
          <w:b/>
          <w:sz w:val="24"/>
        </w:rPr>
      </w:pPr>
      <w:r>
        <w:rPr>
          <w:color w:val="221F20"/>
          <w:sz w:val="24"/>
        </w:rPr>
        <w:t>10:30 a.m. </w:t>
      </w:r>
      <w:r>
        <w:rPr>
          <w:b/>
          <w:sz w:val="24"/>
        </w:rPr>
        <w:t>Lauren Carnevale (Aditi Das Group)</w:t>
      </w:r>
    </w:p>
    <w:p>
      <w:pPr>
        <w:spacing w:line="244" w:lineRule="auto" w:before="5"/>
        <w:ind w:left="100" w:right="4462" w:firstLine="0"/>
        <w:jc w:val="left"/>
        <w:rPr>
          <w:sz w:val="24"/>
        </w:rPr>
      </w:pPr>
      <w:r>
        <w:rPr>
          <w:sz w:val="24"/>
        </w:rPr>
        <w:t>Inhibition of Endocannabinoid Metabolism by Virodhamine </w:t>
      </w:r>
      <w:r>
        <w:rPr>
          <w:color w:val="221F20"/>
          <w:sz w:val="24"/>
        </w:rPr>
        <w:t>10:45 a.m. </w:t>
      </w:r>
      <w:r>
        <w:rPr>
          <w:b/>
          <w:sz w:val="24"/>
        </w:rPr>
        <w:t>Manish Shankla (Alek Aksimentiev Group) </w:t>
      </w:r>
      <w:r>
        <w:rPr>
          <w:sz w:val="24"/>
        </w:rPr>
        <w:t>DNA delivery over the edge of graphene</w:t>
      </w:r>
    </w:p>
    <w:p>
      <w:pPr>
        <w:pStyle w:val="BodyText"/>
        <w:spacing w:before="6"/>
        <w:ind w:left="0"/>
      </w:pPr>
    </w:p>
    <w:p>
      <w:pPr>
        <w:pStyle w:val="BodyText"/>
      </w:pPr>
      <w:r>
        <w:rPr/>
        <w:t>11:00 a.m. Coffee Break</w:t>
      </w:r>
    </w:p>
    <w:p>
      <w:pPr>
        <w:pStyle w:val="BodyText"/>
        <w:spacing w:before="6"/>
      </w:pPr>
      <w:r>
        <w:rPr>
          <w:color w:val="221F20"/>
        </w:rPr>
        <w:t>- - - - - - - - - - - - - - - - - - - - - - - - - - - - - - - - - - - - - - - - - - - - - - - - - - - - - - - - - - - - - - - - - - - - - - - - - - - - -</w:t>
      </w:r>
    </w:p>
    <w:p>
      <w:pPr>
        <w:spacing w:line="304" w:lineRule="exact" w:before="6"/>
        <w:ind w:left="100" w:right="0" w:firstLine="0"/>
        <w:jc w:val="left"/>
        <w:rPr>
          <w:b/>
          <w:sz w:val="24"/>
        </w:rPr>
      </w:pPr>
      <w:r>
        <w:rPr>
          <w:sz w:val="24"/>
        </w:rPr>
        <w:t>11:15 a.m. </w:t>
      </w:r>
      <w:r>
        <w:rPr>
          <w:b/>
          <w:sz w:val="24"/>
        </w:rPr>
        <w:t>Zhiru Liu (Nigel Goldenfeld Group)</w:t>
      </w:r>
    </w:p>
    <w:p>
      <w:pPr>
        <w:spacing w:line="211" w:lineRule="auto" w:before="11"/>
        <w:ind w:left="100" w:right="1970" w:firstLine="0"/>
        <w:jc w:val="left"/>
        <w:rPr>
          <w:b/>
          <w:sz w:val="24"/>
        </w:rPr>
      </w:pPr>
      <w:r>
        <w:rPr>
          <w:sz w:val="24"/>
        </w:rPr>
        <w:t>Self-similarity in the co-evolutionary dynamics of speciation and niche construction 11:30 a.m. </w:t>
      </w:r>
      <w:r>
        <w:rPr>
          <w:b/>
          <w:sz w:val="24"/>
        </w:rPr>
        <w:t>Evan N. Mirts (Yi Lu Group)</w:t>
      </w:r>
    </w:p>
    <w:p>
      <w:pPr>
        <w:spacing w:line="244" w:lineRule="auto" w:before="15"/>
        <w:ind w:left="100" w:right="677" w:firstLine="0"/>
        <w:jc w:val="left"/>
        <w:rPr>
          <w:b/>
          <w:sz w:val="24"/>
        </w:rPr>
      </w:pPr>
      <w:r>
        <w:rPr>
          <w:sz w:val="24"/>
        </w:rPr>
        <w:t>A designed heme-[4Fe4S] metalloenzyme that catalyzes sulfite reduction like the native enzyme 11:45 p.m. </w:t>
      </w:r>
      <w:r>
        <w:rPr>
          <w:b/>
          <w:sz w:val="24"/>
        </w:rPr>
        <w:t>Wooyoung Moon (Jun Song Group)</w:t>
      </w:r>
    </w:p>
    <w:p>
      <w:pPr>
        <w:pStyle w:val="BodyText"/>
        <w:spacing w:line="244" w:lineRule="auto"/>
        <w:ind w:left="1270" w:right="663" w:hanging="1170"/>
      </w:pPr>
      <w:r>
        <w:rPr/>
        <w:t>Novel machine learning approach for learning the binding specificity of oncogenic transcription factor family members</w:t>
      </w:r>
    </w:p>
    <w:p>
      <w:pPr>
        <w:pStyle w:val="Heading1"/>
      </w:pPr>
      <w:r>
        <w:rPr>
          <w:b w:val="0"/>
        </w:rPr>
        <w:t>12:00 p.m. </w:t>
      </w:r>
      <w:r>
        <w:rPr/>
        <w:t>Tyler M. Earnest (Zaida Luthey-Schulten Group)</w:t>
      </w:r>
    </w:p>
    <w:p>
      <w:pPr>
        <w:pStyle w:val="BodyText"/>
        <w:spacing w:line="244" w:lineRule="auto" w:before="6"/>
        <w:ind w:left="1270" w:right="888" w:hanging="1170"/>
      </w:pPr>
      <w:r>
        <w:rPr/>
        <w:t>Integration of Reaction-Diffusion Master Equation and Brownian Dynamics Methodologies to Simulate a Minimal Cell</w:t>
      </w:r>
    </w:p>
    <w:p>
      <w:pPr>
        <w:pStyle w:val="BodyText"/>
        <w:spacing w:before="8"/>
        <w:ind w:left="0"/>
        <w:rPr>
          <w:sz w:val="16"/>
        </w:rPr>
      </w:pPr>
    </w:p>
    <w:p>
      <w:pPr>
        <w:pStyle w:val="BodyText"/>
      </w:pPr>
      <w:r>
        <w:rPr/>
        <w:t>12:15 p.m. Voting for best speaker prize, lunch, and announcement of best speaker prize</w:t>
      </w:r>
    </w:p>
    <w:sectPr>
      <w:type w:val="continuous"/>
      <w:pgSz w:w="12240" w:h="15840"/>
      <w:pgMar w:top="74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Palatino Linotype" w:hAnsi="Palatino Linotype" w:eastAsia="Palatino Linotype" w:cs="Palatino Linotype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323" w:lineRule="exact"/>
      <w:ind w:left="100"/>
      <w:outlineLvl w:val="1"/>
    </w:pPr>
    <w:rPr>
      <w:rFonts w:ascii="Palatino Linotype" w:hAnsi="Palatino Linotype" w:eastAsia="Palatino Linotype" w:cs="Palatino Linotype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2018-11-09T17:35:00Z</dcterms:created>
  <dcterms:modified xsi:type="dcterms:W3CDTF">2018-11-09T17:35:00Z</dcterms:modified>
</cp:coreProperties>
</file>